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B13277" w:rsidRDefault="00A41B28" w:rsidP="006C74ED">
      <w:pPr>
        <w:jc w:val="center"/>
        <w:rPr>
          <w:rFonts w:cs="Arial"/>
          <w:b/>
          <w:bCs/>
          <w:sz w:val="22"/>
          <w:szCs w:val="22"/>
          <w:lang w:val="fr-CA"/>
        </w:rPr>
      </w:pPr>
      <w:r w:rsidRPr="00B13277">
        <w:rPr>
          <w:rFonts w:cs="Arial"/>
          <w:b/>
          <w:bCs/>
          <w:noProof/>
          <w:lang w:val="fr-CA"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B13277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73EE2D26" w14:textId="77777777" w:rsidR="00F43EE0" w:rsidRPr="00B13277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2819567E" w14:textId="77777777" w:rsidR="00F43EE0" w:rsidRPr="00B13277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36BDF182" w14:textId="77777777" w:rsidR="00F43EE0" w:rsidRPr="00B13277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01558D52" w14:textId="77777777" w:rsidR="005A7D77" w:rsidRPr="00B13277" w:rsidRDefault="005A7D77" w:rsidP="005A7D77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B13277">
        <w:rPr>
          <w:rFonts w:cs="Arial"/>
          <w:b/>
          <w:bCs/>
          <w:noProof/>
          <w:lang w:val="fr-CA"/>
        </w:rPr>
        <w:t>Projet de plan de travail</w:t>
      </w:r>
    </w:p>
    <w:p w14:paraId="2DA0B2E9" w14:textId="4A1B2ACD" w:rsidR="00070064" w:rsidRPr="00B13277" w:rsidRDefault="005A7D77" w:rsidP="005A7D77">
      <w:pPr>
        <w:jc w:val="center"/>
        <w:rPr>
          <w:rFonts w:cs="Arial"/>
          <w:b/>
          <w:bCs/>
          <w:sz w:val="20"/>
          <w:szCs w:val="20"/>
          <w:lang w:val="fr-CA"/>
        </w:rPr>
      </w:pPr>
      <w:r w:rsidRPr="00B13277">
        <w:rPr>
          <w:rFonts w:cs="Arial"/>
          <w:b/>
          <w:bCs/>
          <w:lang w:val="fr-CA"/>
        </w:rPr>
        <w:t>de la Première Nation ______________________</w:t>
      </w:r>
    </w:p>
    <w:p w14:paraId="49CDBDA7" w14:textId="77777777" w:rsidR="004D0638" w:rsidRPr="00B13277" w:rsidRDefault="004D0638" w:rsidP="004D0638">
      <w:pPr>
        <w:rPr>
          <w:rFonts w:cs="Arial"/>
          <w:sz w:val="22"/>
          <w:szCs w:val="22"/>
          <w:lang w:val="fr-CA"/>
        </w:rPr>
      </w:pPr>
    </w:p>
    <w:p w14:paraId="74F18083" w14:textId="15DB598F" w:rsidR="004D0638" w:rsidRPr="00B13277" w:rsidRDefault="005A7D77" w:rsidP="004D0638">
      <w:pPr>
        <w:rPr>
          <w:rFonts w:cs="Arial"/>
          <w:sz w:val="22"/>
          <w:szCs w:val="22"/>
          <w:lang w:val="fr-CA"/>
        </w:rPr>
      </w:pPr>
      <w:r w:rsidRPr="00B13277">
        <w:rPr>
          <w:rFonts w:cs="Arial"/>
          <w:noProof/>
          <w:sz w:val="22"/>
          <w:szCs w:val="22"/>
          <w:lang w:val="fr-CA"/>
        </w:rPr>
        <w:t xml:space="preserve">Le présent projet de plan de travail énumère les tâches requises pour élaborer une loi sur l’emprunt de capital à long terme d’une Première Nation. Cela comporte l’élaboration de la loi sur l'emprunt de capital à long terme </w:t>
      </w:r>
      <w:r w:rsidR="00BA1779">
        <w:rPr>
          <w:rFonts w:cs="Arial"/>
          <w:noProof/>
          <w:sz w:val="22"/>
          <w:szCs w:val="22"/>
          <w:lang w:val="fr-CA"/>
        </w:rPr>
        <w:t>et</w:t>
      </w:r>
      <w:r w:rsidRPr="00B13277">
        <w:rPr>
          <w:rFonts w:cs="Arial"/>
          <w:noProof/>
          <w:sz w:val="22"/>
          <w:szCs w:val="22"/>
          <w:lang w:val="fr-CA"/>
        </w:rPr>
        <w:t xml:space="preserve"> l’établissement d’un plan de projet. </w:t>
      </w:r>
    </w:p>
    <w:p w14:paraId="3E26D095" w14:textId="40346AD5" w:rsidR="00F80EA0" w:rsidRPr="00B13277" w:rsidRDefault="00F80EA0">
      <w:pPr>
        <w:rPr>
          <w:rFonts w:cs="Arial"/>
          <w:b/>
          <w:bCs/>
          <w:sz w:val="28"/>
          <w:szCs w:val="28"/>
          <w:lang w:val="fr-CA"/>
        </w:rPr>
      </w:pPr>
    </w:p>
    <w:p w14:paraId="27993D63" w14:textId="51F58493" w:rsidR="0069134E" w:rsidRPr="00F43EE0" w:rsidRDefault="005A7D77" w:rsidP="0069134E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B13277">
        <w:rPr>
          <w:rFonts w:cs="Arial"/>
          <w:b/>
          <w:bCs/>
          <w:sz w:val="28"/>
          <w:szCs w:val="28"/>
          <w:lang w:val="fr-CA"/>
        </w:rPr>
        <w:t xml:space="preserve">Conditions préalables </w:t>
      </w:r>
      <w:r w:rsidR="00BA1779">
        <w:rPr>
          <w:rFonts w:cs="Arial"/>
          <w:b/>
          <w:bCs/>
          <w:sz w:val="28"/>
          <w:szCs w:val="28"/>
          <w:lang w:val="fr-CA"/>
        </w:rPr>
        <w:t>à l’élaboration d’</w:t>
      </w:r>
      <w:r w:rsidRPr="00B13277">
        <w:rPr>
          <w:rFonts w:cs="Arial"/>
          <w:b/>
          <w:bCs/>
          <w:sz w:val="28"/>
          <w:szCs w:val="28"/>
          <w:lang w:val="fr-CA"/>
        </w:rPr>
        <w:t xml:space="preserve">une </w:t>
      </w:r>
      <w:r w:rsidRPr="00BA1779">
        <w:rPr>
          <w:rFonts w:cs="Arial"/>
          <w:b/>
          <w:bCs/>
          <w:sz w:val="28"/>
          <w:szCs w:val="28"/>
          <w:lang w:val="fr-CA"/>
        </w:rPr>
        <w:t xml:space="preserve">loi </w:t>
      </w:r>
      <w:r w:rsidR="00BA1779" w:rsidRPr="00BA1779">
        <w:rPr>
          <w:rFonts w:cs="Arial"/>
          <w:b/>
          <w:bCs/>
          <w:sz w:val="28"/>
          <w:szCs w:val="28"/>
          <w:lang w:val="fr-CA"/>
        </w:rPr>
        <w:t>sur l</w:t>
      </w:r>
      <w:r w:rsidRPr="00BA1779">
        <w:rPr>
          <w:rFonts w:cs="Arial"/>
          <w:b/>
          <w:bCs/>
          <w:sz w:val="28"/>
          <w:szCs w:val="28"/>
          <w:lang w:val="fr-CA"/>
        </w:rPr>
        <w:t>’emprunt</w:t>
      </w:r>
      <w:r w:rsidR="00714A32">
        <w:rPr>
          <w:rFonts w:cs="Arial"/>
          <w:b/>
          <w:bCs/>
          <w:sz w:val="28"/>
          <w:szCs w:val="28"/>
          <w:lang w:val="fr-CA"/>
        </w:rPr>
        <w:t xml:space="preserve"> de fonds</w:t>
      </w:r>
    </w:p>
    <w:p w14:paraId="3CD4B597" w14:textId="77777777" w:rsidR="0069134E" w:rsidRPr="00907B73" w:rsidRDefault="0069134E" w:rsidP="0069134E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DC7ABC" w:rsidRPr="00B13277" w14:paraId="5D26C966" w14:textId="77777777" w:rsidTr="00CB403E">
        <w:trPr>
          <w:tblHeader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DEFD216" w14:textId="52E53AF3" w:rsidR="00F25DA6" w:rsidRPr="00B13277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T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14:paraId="045B6A11" w14:textId="7E8ABEC9" w:rsidR="00F25DA6" w:rsidRPr="00B13277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Activi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tés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200BA02" w14:textId="4B9894F8" w:rsidR="00F25DA6" w:rsidRPr="00B13277" w:rsidRDefault="005A7D77" w:rsidP="00253C20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F9028F7" w14:textId="77777777" w:rsidR="005A7D77" w:rsidRPr="00B13277" w:rsidRDefault="005A7D77" w:rsidP="005A7D77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05EFB327" w14:textId="2880383D" w:rsidR="00F25DA6" w:rsidRPr="00B13277" w:rsidRDefault="005A7D77" w:rsidP="005A7D77">
            <w:pPr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noProof/>
                <w:sz w:val="22"/>
                <w:szCs w:val="22"/>
                <w:lang w:val="fr-CA"/>
              </w:rPr>
              <w:t>[date estimative prévue]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57B8872E" w14:textId="65A6C8B4" w:rsidR="00F25DA6" w:rsidRPr="00B13277" w:rsidRDefault="00F25DA6" w:rsidP="00253C20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Comment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aire</w:t>
            </w: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s</w:t>
            </w:r>
          </w:p>
        </w:tc>
      </w:tr>
      <w:tr w:rsidR="00DC7ABC" w:rsidRPr="00B13277" w14:paraId="3BB1DF20" w14:textId="77777777" w:rsidTr="004A4754">
        <w:trPr>
          <w:trHeight w:val="1538"/>
        </w:trPr>
        <w:tc>
          <w:tcPr>
            <w:tcW w:w="2500" w:type="dxa"/>
            <w:shd w:val="clear" w:color="auto" w:fill="auto"/>
          </w:tcPr>
          <w:p w14:paraId="34093827" w14:textId="5A7B96DA" w:rsidR="00F25DA6" w:rsidRPr="00B13277" w:rsidRDefault="00DC7ABC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Élaboration de la loi sur l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’administration</w:t>
            </w:r>
            <w:r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financière </w:t>
            </w:r>
            <w:r w:rsidR="00CB403E"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(L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F</w:t>
            </w:r>
            <w:r w:rsidR="00CB403E"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4862" w:type="dxa"/>
            <w:shd w:val="clear" w:color="auto" w:fill="auto"/>
          </w:tcPr>
          <w:p w14:paraId="60BC11CC" w14:textId="3B72F340" w:rsidR="00F25DA6" w:rsidRPr="00B13277" w:rsidRDefault="00DC7ABC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P</w:t>
            </w:r>
            <w:r w:rsidR="00F25DA6" w:rsidRPr="00B13277">
              <w:rPr>
                <w:rFonts w:cs="Arial"/>
                <w:sz w:val="20"/>
                <w:szCs w:val="20"/>
                <w:lang w:val="fr-CA"/>
              </w:rPr>
              <w:t xml:space="preserve">N </w:t>
            </w:r>
            <w:r w:rsidR="00BA1779">
              <w:rPr>
                <w:rFonts w:cs="Arial"/>
                <w:sz w:val="20"/>
                <w:szCs w:val="20"/>
                <w:lang w:val="fr-CA"/>
              </w:rPr>
              <w:t>communique avec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le Conseil de gestion financière des Premières Nations (CGFPN) pour </w:t>
            </w:r>
            <w:r w:rsidR="001B7D8B">
              <w:rPr>
                <w:rFonts w:cs="Arial"/>
                <w:sz w:val="20"/>
                <w:szCs w:val="20"/>
                <w:lang w:val="fr-CA"/>
              </w:rPr>
              <w:t>obtenir des renseignements et connaître les processus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BA1779">
              <w:rPr>
                <w:rFonts w:cs="Arial"/>
                <w:sz w:val="20"/>
                <w:szCs w:val="20"/>
                <w:lang w:val="fr-CA"/>
              </w:rPr>
              <w:t xml:space="preserve">à suivre 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pour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l’élaboration d’une loi sur 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l’administration</w:t>
            </w:r>
            <w:r w:rsidR="00A57C7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financière</w:t>
            </w:r>
            <w:r w:rsidR="00D745BB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2A03B2F3" w14:textId="102EC1EC" w:rsidR="00F25DA6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F25DA6" w:rsidRPr="00B13277">
              <w:rPr>
                <w:rFonts w:cs="Arial"/>
                <w:sz w:val="20"/>
                <w:szCs w:val="20"/>
                <w:lang w:val="fr-CA"/>
              </w:rPr>
              <w:t xml:space="preserve">N </w:t>
            </w:r>
          </w:p>
          <w:p w14:paraId="6AF4E712" w14:textId="75E542C6" w:rsidR="00F25DA6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CGFPN</w:t>
            </w:r>
          </w:p>
        </w:tc>
        <w:tc>
          <w:tcPr>
            <w:tcW w:w="1970" w:type="dxa"/>
            <w:shd w:val="clear" w:color="auto" w:fill="auto"/>
          </w:tcPr>
          <w:p w14:paraId="505192BA" w14:textId="52AC9288" w:rsidR="00F25DA6" w:rsidRPr="00B13277" w:rsidRDefault="002F294E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S/O</w:t>
            </w:r>
          </w:p>
        </w:tc>
        <w:tc>
          <w:tcPr>
            <w:tcW w:w="6101" w:type="dxa"/>
          </w:tcPr>
          <w:p w14:paraId="7BD1D180" w14:textId="76ED8181" w:rsidR="00BB63C5" w:rsidRPr="00B13277" w:rsidRDefault="00DC7ABC" w:rsidP="00A51F4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Première</w:t>
            </w:r>
            <w:r w:rsidR="008F4DEB" w:rsidRPr="00B13277">
              <w:rPr>
                <w:rFonts w:cs="Arial"/>
                <w:sz w:val="20"/>
                <w:szCs w:val="20"/>
                <w:lang w:val="fr-CA"/>
              </w:rPr>
              <w:t xml:space="preserve"> Nation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doit avoir édicté une loi sur 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l’administration</w:t>
            </w:r>
            <w:r w:rsidR="00A57C76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financière en vertu de l’article </w:t>
            </w:r>
            <w:r w:rsidR="008F4DEB" w:rsidRPr="00B13277">
              <w:rPr>
                <w:rFonts w:cs="Arial"/>
                <w:sz w:val="20"/>
                <w:szCs w:val="20"/>
                <w:lang w:val="fr-CA"/>
              </w:rPr>
              <w:t xml:space="preserve">9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de la </w:t>
            </w:r>
            <w:r w:rsidR="00061EC9">
              <w:rPr>
                <w:rFonts w:cs="Arial"/>
                <w:sz w:val="20"/>
                <w:szCs w:val="20"/>
                <w:lang w:val="fr-CA"/>
              </w:rPr>
              <w:t>LGFPN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, qui a été agréée par le CGFPN. </w:t>
            </w:r>
          </w:p>
          <w:p w14:paraId="6476C6B4" w14:textId="6C6DAFCB" w:rsidR="00401A0A" w:rsidRPr="00B13277" w:rsidRDefault="00DC7ABC" w:rsidP="003B6A4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Conseil de gestion financière des </w:t>
            </w:r>
            <w:r w:rsidR="00BA1779">
              <w:rPr>
                <w:rFonts w:cs="Arial"/>
                <w:sz w:val="20"/>
                <w:szCs w:val="20"/>
                <w:lang w:val="fr-CA"/>
              </w:rPr>
              <w:t>P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remières </w:t>
            </w:r>
            <w:r w:rsidR="00BA1779">
              <w:rPr>
                <w:rFonts w:cs="Arial"/>
                <w:sz w:val="20"/>
                <w:szCs w:val="20"/>
                <w:lang w:val="fr-CA"/>
              </w:rPr>
              <w:t>N</w:t>
            </w:r>
            <w:r>
              <w:rPr>
                <w:rFonts w:cs="Arial"/>
                <w:sz w:val="20"/>
                <w:szCs w:val="20"/>
                <w:lang w:val="fr-CA"/>
              </w:rPr>
              <w:t>ations fournit sur son site Web des renseignements sur l’élaboration d’une L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A</w:t>
            </w:r>
            <w:r>
              <w:rPr>
                <w:rFonts w:cs="Arial"/>
                <w:sz w:val="20"/>
                <w:szCs w:val="20"/>
                <w:lang w:val="fr-CA"/>
              </w:rPr>
              <w:t>F.</w:t>
            </w:r>
            <w:r w:rsidR="00401A0A" w:rsidRPr="00B13277">
              <w:rPr>
                <w:lang w:val="fr-CA"/>
              </w:rPr>
              <w:t xml:space="preserve"> </w:t>
            </w:r>
            <w:hyperlink r:id="rId9" w:history="1">
              <w:r w:rsidRPr="00DC7ABC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S</w:t>
              </w:r>
              <w:r w:rsidR="00275222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i</w:t>
              </w:r>
              <w:r w:rsidR="00275222">
                <w:rPr>
                  <w:rStyle w:val="Hyperlink"/>
                  <w:sz w:val="20"/>
                  <w:szCs w:val="20"/>
                </w:rPr>
                <w:t>te</w:t>
              </w:r>
              <w:r w:rsidR="00401A0A" w:rsidRPr="00B13277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 xml:space="preserve"> Web</w:t>
              </w:r>
              <w:r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 xml:space="preserve"> du CGFPN</w:t>
              </w:r>
            </w:hyperlink>
          </w:p>
        </w:tc>
      </w:tr>
      <w:tr w:rsidR="00DC7ABC" w:rsidRPr="00B13277" w14:paraId="6400ED57" w14:textId="77777777" w:rsidTr="004A4754">
        <w:trPr>
          <w:trHeight w:val="1520"/>
        </w:trPr>
        <w:tc>
          <w:tcPr>
            <w:tcW w:w="2500" w:type="dxa"/>
            <w:shd w:val="clear" w:color="auto" w:fill="auto"/>
          </w:tcPr>
          <w:p w14:paraId="10F43D9F" w14:textId="68770228" w:rsidR="00CB403E" w:rsidRPr="00B13277" w:rsidRDefault="00CB403E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Obt</w:t>
            </w:r>
            <w:r w:rsidR="00DC7ABC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enir 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la</w:t>
            </w:r>
            <w:r w:rsidR="00DC7ABC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certificat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ion</w:t>
            </w:r>
            <w:r w:rsidR="00DC7ABC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d</w:t>
            </w:r>
            <w:r w:rsidR="00A57C76">
              <w:rPr>
                <w:rFonts w:cs="Arial"/>
                <w:color w:val="000000"/>
                <w:sz w:val="20"/>
                <w:szCs w:val="20"/>
                <w:lang w:val="fr-CA"/>
              </w:rPr>
              <w:t>u</w:t>
            </w:r>
            <w:r w:rsidR="00DC7ABC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rendement financier</w:t>
            </w: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14:paraId="1B9670AD" w14:textId="3BB1A700" w:rsidR="00CB403E" w:rsidRPr="00B13277" w:rsidRDefault="00A51F49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Contact</w:t>
            </w:r>
            <w:r w:rsidR="00DC7ABC">
              <w:rPr>
                <w:rFonts w:cs="Arial"/>
                <w:sz w:val="20"/>
                <w:szCs w:val="20"/>
                <w:lang w:val="fr-CA"/>
              </w:rPr>
              <w:t xml:space="preserve">er le CGFPN pour obtenir 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la</w:t>
            </w:r>
            <w:r w:rsidR="00DC7ABC">
              <w:rPr>
                <w:rFonts w:cs="Arial"/>
                <w:sz w:val="20"/>
                <w:szCs w:val="20"/>
                <w:lang w:val="fr-CA"/>
              </w:rPr>
              <w:t xml:space="preserve"> certificat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ion</w:t>
            </w:r>
            <w:r w:rsidR="00DC7ABC">
              <w:rPr>
                <w:rFonts w:cs="Arial"/>
                <w:sz w:val="20"/>
                <w:szCs w:val="20"/>
                <w:lang w:val="fr-CA"/>
              </w:rPr>
              <w:t xml:space="preserve"> d</w:t>
            </w:r>
            <w:r w:rsidR="001B7D8B">
              <w:rPr>
                <w:rFonts w:cs="Arial"/>
                <w:sz w:val="20"/>
                <w:szCs w:val="20"/>
                <w:lang w:val="fr-CA"/>
              </w:rPr>
              <w:t>u</w:t>
            </w:r>
            <w:r w:rsidR="00DC7ABC">
              <w:rPr>
                <w:rFonts w:cs="Arial"/>
                <w:sz w:val="20"/>
                <w:szCs w:val="20"/>
                <w:lang w:val="fr-CA"/>
              </w:rPr>
              <w:t xml:space="preserve"> rendement financier (dans le cas </w:t>
            </w:r>
            <w:r w:rsidR="00B655D8">
              <w:rPr>
                <w:rFonts w:cs="Arial"/>
                <w:sz w:val="20"/>
                <w:szCs w:val="20"/>
                <w:lang w:val="fr-CA"/>
              </w:rPr>
              <w:t>du</w:t>
            </w:r>
            <w:r w:rsidR="00DC7ABC">
              <w:rPr>
                <w:rFonts w:cs="Arial"/>
                <w:sz w:val="20"/>
                <w:szCs w:val="20"/>
                <w:lang w:val="fr-CA"/>
              </w:rPr>
              <w:t xml:space="preserve"> premier emprunt</w:t>
            </w:r>
            <w:r w:rsidR="00F838BE" w:rsidRPr="00B13277">
              <w:rPr>
                <w:rFonts w:cs="Arial"/>
                <w:sz w:val="20"/>
                <w:szCs w:val="20"/>
                <w:lang w:val="fr-CA"/>
              </w:rPr>
              <w:t>)</w:t>
            </w:r>
            <w:r w:rsidR="00D745BB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04ECC4EC" w14:textId="56CB5C88" w:rsidR="00DE47B6" w:rsidRPr="00B13277" w:rsidRDefault="00F838BE" w:rsidP="00231F6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Contact</w:t>
            </w:r>
            <w:r w:rsidR="00DC7ABC">
              <w:rPr>
                <w:rFonts w:cs="Arial"/>
                <w:sz w:val="20"/>
                <w:szCs w:val="20"/>
                <w:lang w:val="fr-CA"/>
              </w:rPr>
              <w:t>er le CGFPN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pour obtenir 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la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 certificat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ion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 du système de gestion financière 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a</w:t>
            </w:r>
            <w:r w:rsidR="001B7D8B">
              <w:rPr>
                <w:rFonts w:cs="Arial"/>
                <w:sz w:val="20"/>
                <w:szCs w:val="20"/>
                <w:lang w:val="fr-CA"/>
              </w:rPr>
              <w:t>vant tous les emprunts subséquents</w:t>
            </w:r>
          </w:p>
        </w:tc>
        <w:tc>
          <w:tcPr>
            <w:tcW w:w="2045" w:type="dxa"/>
            <w:shd w:val="clear" w:color="auto" w:fill="auto"/>
          </w:tcPr>
          <w:p w14:paraId="1EAABB8C" w14:textId="5F765C70" w:rsidR="00EB31E5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EB31E5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0A4B4224" w14:textId="7337676B" w:rsidR="00CB403E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CGF</w:t>
            </w:r>
            <w:r w:rsidR="00B655D8">
              <w:rPr>
                <w:rFonts w:cs="Arial"/>
                <w:sz w:val="20"/>
                <w:szCs w:val="20"/>
                <w:lang w:val="fr-CA"/>
              </w:rPr>
              <w:t>PN</w:t>
            </w:r>
          </w:p>
        </w:tc>
        <w:tc>
          <w:tcPr>
            <w:tcW w:w="1970" w:type="dxa"/>
            <w:shd w:val="clear" w:color="auto" w:fill="auto"/>
          </w:tcPr>
          <w:p w14:paraId="282FF1AE" w14:textId="4D7E5CDF" w:rsidR="00CB403E" w:rsidRPr="00B13277" w:rsidRDefault="002F294E" w:rsidP="00253C20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S/O</w:t>
            </w:r>
          </w:p>
          <w:p w14:paraId="04351F98" w14:textId="4C0D1637" w:rsidR="008C2820" w:rsidRPr="00B13277" w:rsidRDefault="002F294E" w:rsidP="004A4754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Pour le certificat </w:t>
            </w:r>
            <w:r w:rsidR="00D00748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SGF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, dans les 36 mois 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après avoir obtenu </w:t>
            </w:r>
            <w:r w:rsidR="00B655D8">
              <w:rPr>
                <w:rFonts w:cs="Arial"/>
                <w:sz w:val="20"/>
                <w:szCs w:val="20"/>
                <w:lang w:val="fr-CA"/>
              </w:rPr>
              <w:t>le</w:t>
            </w:r>
            <w:r w:rsidR="001B7D8B">
              <w:rPr>
                <w:rFonts w:cs="Arial"/>
                <w:sz w:val="20"/>
                <w:szCs w:val="20"/>
                <w:lang w:val="fr-CA"/>
              </w:rPr>
              <w:t xml:space="preserve"> CRF</w:t>
            </w:r>
          </w:p>
        </w:tc>
        <w:tc>
          <w:tcPr>
            <w:tcW w:w="6101" w:type="dxa"/>
          </w:tcPr>
          <w:p w14:paraId="6C676554" w14:textId="665376B5" w:rsidR="00CB403E" w:rsidRPr="00B13277" w:rsidRDefault="001B7D8B" w:rsidP="00401A0A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Pour obtenir plus de renseignements sur l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a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certificat</w:t>
            </w:r>
            <w:r w:rsidR="00A57C76">
              <w:rPr>
                <w:rFonts w:cs="Arial"/>
                <w:sz w:val="20"/>
                <w:szCs w:val="20"/>
                <w:lang w:val="fr-CA"/>
              </w:rPr>
              <w:t>ion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u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rendement financier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 :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hyperlink r:id="rId10" w:history="1">
              <w:r w:rsidR="00051F1F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Certification du rendement financier</w:t>
              </w:r>
            </w:hyperlink>
          </w:p>
          <w:p w14:paraId="0509CCC2" w14:textId="7BF58CC4" w:rsidR="00401A0A" w:rsidRPr="00B13277" w:rsidRDefault="001B7D8B" w:rsidP="00F453F6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Pour obtenir plus de renseignements sur l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a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certificat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ion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051F1F">
              <w:rPr>
                <w:rFonts w:cs="Arial"/>
                <w:sz w:val="20"/>
                <w:szCs w:val="20"/>
                <w:lang w:val="fr-CA"/>
              </w:rPr>
              <w:t>du système de gestion financière :</w:t>
            </w:r>
            <w:r w:rsidR="00BA31C9" w:rsidRPr="00B13277">
              <w:rPr>
                <w:lang w:val="fr-CA"/>
              </w:rPr>
              <w:t xml:space="preserve"> </w:t>
            </w:r>
            <w:hyperlink r:id="rId11" w:history="1">
              <w:r w:rsidR="00051F1F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Certification du système de gestion financière</w:t>
              </w:r>
            </w:hyperlink>
          </w:p>
        </w:tc>
      </w:tr>
      <w:tr w:rsidR="00DC7ABC" w:rsidRPr="00B13277" w14:paraId="74F7446E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4AE796D8" w14:textId="3A43B72F" w:rsidR="00A25DDF" w:rsidRPr="00B13277" w:rsidRDefault="00DC7ABC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Soumettre une demande à l’AFPN pour devenir membre emprunteur</w:t>
            </w:r>
          </w:p>
        </w:tc>
        <w:tc>
          <w:tcPr>
            <w:tcW w:w="4862" w:type="dxa"/>
            <w:shd w:val="clear" w:color="auto" w:fill="auto"/>
          </w:tcPr>
          <w:p w14:paraId="3192C79E" w14:textId="1C033F7A" w:rsidR="00A25DDF" w:rsidRPr="00B13277" w:rsidRDefault="00311975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Contact</w:t>
            </w:r>
            <w:r w:rsidR="001B7D8B">
              <w:rPr>
                <w:rFonts w:cs="Arial"/>
                <w:sz w:val="20"/>
                <w:szCs w:val="20"/>
                <w:lang w:val="fr-CA"/>
              </w:rPr>
              <w:t>er l’AFPN pour connaître le</w:t>
            </w:r>
            <w:r w:rsidR="0021547F" w:rsidRPr="00B13277">
              <w:rPr>
                <w:rFonts w:cs="Arial"/>
                <w:sz w:val="20"/>
                <w:szCs w:val="20"/>
                <w:lang w:val="fr-CA"/>
              </w:rPr>
              <w:t xml:space="preserve"> process</w:t>
            </w:r>
            <w:r w:rsidR="001B7D8B">
              <w:rPr>
                <w:rFonts w:cs="Arial"/>
                <w:sz w:val="20"/>
                <w:szCs w:val="20"/>
                <w:lang w:val="fr-CA"/>
              </w:rPr>
              <w:t>us et les exigences pour devenir membre emprunteur</w:t>
            </w:r>
            <w:r w:rsidR="004A4754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5BA8A98E" w14:textId="36A5FA45" w:rsidR="00A25DDF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21547F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6700C87F" w14:textId="15D7FB0C" w:rsidR="0021547F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AFPN</w:t>
            </w:r>
          </w:p>
        </w:tc>
        <w:tc>
          <w:tcPr>
            <w:tcW w:w="1970" w:type="dxa"/>
            <w:shd w:val="clear" w:color="auto" w:fill="auto"/>
          </w:tcPr>
          <w:p w14:paraId="241890A5" w14:textId="77777777" w:rsidR="00A25DDF" w:rsidRPr="00B13277" w:rsidRDefault="00A25DDF" w:rsidP="00C42BB9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101" w:type="dxa"/>
          </w:tcPr>
          <w:p w14:paraId="5D71E1FB" w14:textId="77777777" w:rsidR="00A25DDF" w:rsidRPr="00B13277" w:rsidRDefault="00A25DDF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C7ABC" w:rsidRPr="00B13277" w14:paraId="5A652938" w14:textId="77777777" w:rsidTr="004A4754">
        <w:trPr>
          <w:trHeight w:val="782"/>
        </w:trPr>
        <w:tc>
          <w:tcPr>
            <w:tcW w:w="2500" w:type="dxa"/>
            <w:shd w:val="clear" w:color="auto" w:fill="auto"/>
          </w:tcPr>
          <w:p w14:paraId="23F0622D" w14:textId="631378AE" w:rsidR="003419B9" w:rsidRPr="00B13277" w:rsidRDefault="00DC7ABC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Élaborer une loi sur les recettes locales</w:t>
            </w:r>
          </w:p>
        </w:tc>
        <w:tc>
          <w:tcPr>
            <w:tcW w:w="4862" w:type="dxa"/>
            <w:shd w:val="clear" w:color="auto" w:fill="auto"/>
          </w:tcPr>
          <w:p w14:paraId="57F31FFA" w14:textId="1AE64538" w:rsidR="003419B9" w:rsidRPr="00B13277" w:rsidRDefault="001B7D8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S</w:t>
            </w:r>
            <w:r w:rsidR="009D349C">
              <w:rPr>
                <w:rFonts w:cs="Arial"/>
                <w:sz w:val="20"/>
                <w:szCs w:val="20"/>
                <w:lang w:val="fr-CA"/>
              </w:rPr>
              <w:t>’il s’agit d’une PN non taxatrice,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contacter la CFPN pour élaborer une loi sur l’imposition foncière, une loi sur la taxe sur les services ou </w:t>
            </w:r>
            <w:r w:rsidR="00B655D8">
              <w:rPr>
                <w:rFonts w:cs="Arial"/>
                <w:sz w:val="20"/>
                <w:szCs w:val="20"/>
                <w:lang w:val="fr-CA"/>
              </w:rPr>
              <w:t>toute</w:t>
            </w:r>
            <w:r w:rsidR="009D349C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autre loi sur les recettes locales qui </w:t>
            </w:r>
            <w:r w:rsidR="00B655D8">
              <w:rPr>
                <w:rFonts w:cs="Arial"/>
                <w:sz w:val="20"/>
                <w:szCs w:val="20"/>
                <w:lang w:val="fr-CA"/>
              </w:rPr>
              <w:t>appuiera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l’emprunt. </w:t>
            </w:r>
          </w:p>
        </w:tc>
        <w:tc>
          <w:tcPr>
            <w:tcW w:w="2045" w:type="dxa"/>
            <w:shd w:val="clear" w:color="auto" w:fill="auto"/>
          </w:tcPr>
          <w:p w14:paraId="0C53D79B" w14:textId="79BA708B" w:rsidR="003419B9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5572B9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251EAC8A" w14:textId="3A2E60C0" w:rsidR="005572B9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</w:tc>
        <w:tc>
          <w:tcPr>
            <w:tcW w:w="1970" w:type="dxa"/>
            <w:shd w:val="clear" w:color="auto" w:fill="auto"/>
          </w:tcPr>
          <w:p w14:paraId="24CDE122" w14:textId="77777777" w:rsidR="003419B9" w:rsidRPr="00B13277" w:rsidRDefault="003419B9" w:rsidP="00C42BB9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101" w:type="dxa"/>
          </w:tcPr>
          <w:p w14:paraId="09429545" w14:textId="77777777" w:rsidR="003419B9" w:rsidRPr="00B13277" w:rsidRDefault="003419B9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C7ABC" w:rsidRPr="00B13277" w14:paraId="4A8E6A1F" w14:textId="77777777" w:rsidTr="00CB403E">
        <w:trPr>
          <w:trHeight w:val="575"/>
        </w:trPr>
        <w:tc>
          <w:tcPr>
            <w:tcW w:w="2500" w:type="dxa"/>
            <w:shd w:val="clear" w:color="auto" w:fill="auto"/>
          </w:tcPr>
          <w:p w14:paraId="7D500019" w14:textId="53B6370F" w:rsidR="00606695" w:rsidRPr="00B13277" w:rsidRDefault="00DC7ABC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lastRenderedPageBreak/>
              <w:t>Désigner le projet d’infrastructure admissible</w:t>
            </w:r>
          </w:p>
        </w:tc>
        <w:tc>
          <w:tcPr>
            <w:tcW w:w="4862" w:type="dxa"/>
            <w:shd w:val="clear" w:color="auto" w:fill="auto"/>
          </w:tcPr>
          <w:p w14:paraId="0120B70C" w14:textId="36AE0E9E" w:rsidR="00606695" w:rsidRPr="00B13277" w:rsidRDefault="00051F1F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PN désigne le projet d’infrastructure</w:t>
            </w:r>
            <w:r w:rsidR="004A4754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shd w:val="clear" w:color="auto" w:fill="auto"/>
          </w:tcPr>
          <w:p w14:paraId="5F1AF37E" w14:textId="31E65860" w:rsidR="00606695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0414C6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970" w:type="dxa"/>
            <w:shd w:val="clear" w:color="auto" w:fill="auto"/>
          </w:tcPr>
          <w:p w14:paraId="27FC0217" w14:textId="77777777" w:rsidR="00606695" w:rsidRPr="00B13277" w:rsidRDefault="00606695" w:rsidP="00C42BB9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101" w:type="dxa"/>
          </w:tcPr>
          <w:p w14:paraId="09E8FF14" w14:textId="3628CC58" w:rsidR="00606695" w:rsidRPr="00B13277" w:rsidRDefault="00051F1F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  <w:lang w:val="fr-CA"/>
              </w:rPr>
            </w:pPr>
            <w:r w:rsidRPr="00275222">
              <w:rPr>
                <w:rFonts w:cs="Arial"/>
                <w:sz w:val="20"/>
                <w:szCs w:val="20"/>
                <w:lang w:val="fr-CA"/>
              </w:rPr>
              <w:t>Les</w:t>
            </w:r>
            <w:r>
              <w:rPr>
                <w:rFonts w:cs="Arial"/>
                <w:i/>
                <w:iCs/>
                <w:sz w:val="20"/>
                <w:szCs w:val="20"/>
                <w:lang w:val="fr-CA"/>
              </w:rPr>
              <w:t xml:space="preserve"> Normes établissant les critères d’agrément des loi</w:t>
            </w:r>
            <w:r w:rsidR="00B655D8">
              <w:rPr>
                <w:rFonts w:cs="Arial"/>
                <w:i/>
                <w:iCs/>
                <w:sz w:val="20"/>
                <w:szCs w:val="20"/>
                <w:lang w:val="fr-CA"/>
              </w:rPr>
              <w:t>s</w:t>
            </w:r>
            <w:r>
              <w:rPr>
                <w:rFonts w:cs="Arial"/>
                <w:i/>
                <w:iCs/>
                <w:sz w:val="20"/>
                <w:szCs w:val="20"/>
                <w:lang w:val="fr-CA"/>
              </w:rPr>
              <w:t xml:space="preserve"> sur l’emprunt de fonds</w:t>
            </w:r>
            <w:r w:rsidR="00B655D8">
              <w:rPr>
                <w:rFonts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655D8" w:rsidRPr="00B655D8">
              <w:rPr>
                <w:rFonts w:cs="Arial"/>
                <w:sz w:val="20"/>
                <w:szCs w:val="20"/>
                <w:lang w:val="fr-CA"/>
              </w:rPr>
              <w:t>(de la CFPN)</w:t>
            </w:r>
            <w:r w:rsidRPr="00B655D8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énumère</w:t>
            </w:r>
            <w:r w:rsidR="009D349C">
              <w:rPr>
                <w:rFonts w:cs="Arial"/>
                <w:sz w:val="20"/>
                <w:szCs w:val="20"/>
                <w:lang w:val="fr-CA"/>
              </w:rPr>
              <w:t>nt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les projets d’</w:t>
            </w:r>
            <w:r w:rsidR="001503EB" w:rsidRPr="00B13277">
              <w:rPr>
                <w:rFonts w:cs="Arial"/>
                <w:sz w:val="20"/>
                <w:szCs w:val="20"/>
                <w:lang w:val="fr-CA"/>
              </w:rPr>
              <w:t>infrastructure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D349C">
              <w:rPr>
                <w:rFonts w:cs="Arial"/>
                <w:sz w:val="20"/>
                <w:szCs w:val="20"/>
                <w:lang w:val="fr-CA"/>
              </w:rPr>
              <w:t>admissibles</w:t>
            </w:r>
            <w:r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</w:tr>
      <w:tr w:rsidR="00DC7ABC" w:rsidRPr="00B13277" w14:paraId="61413C31" w14:textId="77777777" w:rsidTr="004A4754">
        <w:trPr>
          <w:trHeight w:val="1025"/>
        </w:trPr>
        <w:tc>
          <w:tcPr>
            <w:tcW w:w="2500" w:type="dxa"/>
            <w:shd w:val="clear" w:color="auto" w:fill="auto"/>
          </w:tcPr>
          <w:p w14:paraId="33959A1A" w14:textId="02E621B5" w:rsidR="00DB423D" w:rsidRPr="00B13277" w:rsidRDefault="00F94AB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Déter</w:t>
            </w:r>
            <w:r w:rsidR="00DB423D"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mination</w:t>
            </w:r>
            <w:r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préliminaire de la capacité d’emprunt</w:t>
            </w:r>
          </w:p>
        </w:tc>
        <w:tc>
          <w:tcPr>
            <w:tcW w:w="4862" w:type="dxa"/>
            <w:shd w:val="clear" w:color="auto" w:fill="auto"/>
          </w:tcPr>
          <w:p w14:paraId="0D459677" w14:textId="68ED9EB1" w:rsidR="00DB423D" w:rsidRPr="00B13277" w:rsidRDefault="00DC7ABC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Examiner les recettes fiscales et l’assiette fiscale pour déterminer la capacité d’emprunt estimative. </w:t>
            </w:r>
          </w:p>
        </w:tc>
        <w:tc>
          <w:tcPr>
            <w:tcW w:w="2045" w:type="dxa"/>
            <w:shd w:val="clear" w:color="auto" w:fill="auto"/>
          </w:tcPr>
          <w:p w14:paraId="41A9FD7E" w14:textId="13A82CFF" w:rsidR="00DB423D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DB423D" w:rsidRPr="00B13277">
              <w:rPr>
                <w:rFonts w:cs="Arial"/>
                <w:sz w:val="20"/>
                <w:szCs w:val="20"/>
                <w:lang w:val="fr-CA"/>
              </w:rPr>
              <w:t>N/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AFPN</w:t>
            </w:r>
            <w:r w:rsidR="00DB423D" w:rsidRPr="00B13277">
              <w:rPr>
                <w:rFonts w:cs="Arial"/>
                <w:sz w:val="20"/>
                <w:szCs w:val="20"/>
                <w:lang w:val="fr-CA"/>
              </w:rPr>
              <w:t>/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</w:tc>
        <w:tc>
          <w:tcPr>
            <w:tcW w:w="1970" w:type="dxa"/>
            <w:shd w:val="clear" w:color="auto" w:fill="auto"/>
          </w:tcPr>
          <w:p w14:paraId="316E8F56" w14:textId="77777777" w:rsidR="00DB423D" w:rsidRPr="00B13277" w:rsidRDefault="00DB423D" w:rsidP="00C42BB9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101" w:type="dxa"/>
          </w:tcPr>
          <w:p w14:paraId="0AED6CAA" w14:textId="2B83553A" w:rsidR="00DB423D" w:rsidRPr="00B13277" w:rsidRDefault="00275222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  <w:lang w:val="fr-CA"/>
              </w:rPr>
            </w:pPr>
            <w:r w:rsidRPr="00275222">
              <w:rPr>
                <w:rFonts w:cs="Arial"/>
                <w:sz w:val="20"/>
                <w:szCs w:val="20"/>
                <w:lang w:val="fr-CA"/>
              </w:rPr>
              <w:t>Les</w:t>
            </w:r>
            <w:r>
              <w:rPr>
                <w:rFonts w:cs="Arial"/>
                <w:i/>
                <w:iCs/>
                <w:sz w:val="20"/>
                <w:szCs w:val="20"/>
                <w:lang w:val="fr-CA"/>
              </w:rPr>
              <w:t xml:space="preserve"> Normes établissant les critères d’agrément des lois sur l’emprunt de fonds </w:t>
            </w:r>
            <w:r w:rsidRPr="00B655D8">
              <w:rPr>
                <w:rFonts w:cs="Arial"/>
                <w:sz w:val="20"/>
                <w:szCs w:val="20"/>
                <w:lang w:val="fr-CA"/>
              </w:rPr>
              <w:t xml:space="preserve">(de la CFPN) </w:t>
            </w:r>
            <w:r w:rsidR="00A57C76">
              <w:rPr>
                <w:rFonts w:cs="Arial"/>
                <w:sz w:val="20"/>
                <w:szCs w:val="20"/>
                <w:lang w:val="fr-CA"/>
              </w:rPr>
              <w:t xml:space="preserve">prévoient </w:t>
            </w:r>
            <w:r w:rsidR="0069134E">
              <w:rPr>
                <w:rFonts w:cs="Arial"/>
                <w:sz w:val="20"/>
                <w:szCs w:val="20"/>
                <w:lang w:val="fr-CA"/>
              </w:rPr>
              <w:t>comment</w:t>
            </w:r>
            <w:r w:rsidR="00A57C76">
              <w:rPr>
                <w:rFonts w:cs="Arial"/>
                <w:sz w:val="20"/>
                <w:szCs w:val="20"/>
                <w:lang w:val="fr-CA"/>
              </w:rPr>
              <w:t xml:space="preserve"> déterminer la capacité d’emprunt</w:t>
            </w:r>
          </w:p>
          <w:p w14:paraId="797D916F" w14:textId="0E4DBF70" w:rsidR="002719EE" w:rsidRPr="00B13277" w:rsidRDefault="00A57C76" w:rsidP="00401A0A">
            <w:pPr>
              <w:pStyle w:val="ListParagraph"/>
              <w:numPr>
                <w:ilvl w:val="0"/>
                <w:numId w:val="30"/>
              </w:numPr>
              <w:rPr>
                <w:rFonts w:cs="Arial"/>
                <w:i/>
                <w:iCs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Cette détermination est utile pour </w:t>
            </w:r>
            <w:r w:rsidR="0069134E">
              <w:rPr>
                <w:rFonts w:cs="Arial"/>
                <w:sz w:val="20"/>
                <w:szCs w:val="20"/>
                <w:lang w:val="fr-CA"/>
              </w:rPr>
              <w:t>sa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voir combien de financement </w:t>
            </w:r>
            <w:r w:rsidR="009D349C">
              <w:rPr>
                <w:rFonts w:cs="Arial"/>
                <w:sz w:val="20"/>
                <w:szCs w:val="20"/>
                <w:lang w:val="fr-CA"/>
              </w:rPr>
              <w:t>par emprunt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69134E">
              <w:rPr>
                <w:rFonts w:cs="Arial"/>
                <w:sz w:val="20"/>
                <w:szCs w:val="20"/>
                <w:lang w:val="fr-CA"/>
              </w:rPr>
              <w:t xml:space="preserve">on </w:t>
            </w:r>
            <w:r>
              <w:rPr>
                <w:rFonts w:cs="Arial"/>
                <w:sz w:val="20"/>
                <w:szCs w:val="20"/>
                <w:lang w:val="fr-CA"/>
              </w:rPr>
              <w:t>peut utilis</w:t>
            </w:r>
            <w:r w:rsidR="0069134E">
              <w:rPr>
                <w:rFonts w:cs="Arial"/>
                <w:sz w:val="20"/>
                <w:szCs w:val="20"/>
                <w:lang w:val="fr-CA"/>
              </w:rPr>
              <w:t xml:space="preserve">er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pour le projet. </w:t>
            </w:r>
          </w:p>
        </w:tc>
      </w:tr>
      <w:tr w:rsidR="00DC7ABC" w:rsidRPr="00B13277" w14:paraId="4C2E1BFD" w14:textId="77777777" w:rsidTr="004A4754">
        <w:trPr>
          <w:trHeight w:val="980"/>
        </w:trPr>
        <w:tc>
          <w:tcPr>
            <w:tcW w:w="2500" w:type="dxa"/>
            <w:shd w:val="clear" w:color="auto" w:fill="auto"/>
          </w:tcPr>
          <w:p w14:paraId="3E85BEC4" w14:textId="5437A44B" w:rsidR="00D745BB" w:rsidRPr="00B13277" w:rsidRDefault="00F94AB5" w:rsidP="00253C20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cs="Arial"/>
                <w:color w:val="000000"/>
                <w:sz w:val="20"/>
                <w:szCs w:val="20"/>
                <w:lang w:val="fr-CA"/>
              </w:rPr>
              <w:t>Élaboration de la loi sur l’</w:t>
            </w:r>
            <w:r w:rsidR="006A66D1">
              <w:rPr>
                <w:rFonts w:cs="Arial"/>
                <w:color w:val="000000"/>
                <w:sz w:val="20"/>
                <w:szCs w:val="20"/>
                <w:lang w:val="fr-CA"/>
              </w:rPr>
              <w:t>accord d’emprunt (LAE)</w:t>
            </w:r>
          </w:p>
        </w:tc>
        <w:tc>
          <w:tcPr>
            <w:tcW w:w="4862" w:type="dxa"/>
            <w:shd w:val="clear" w:color="auto" w:fill="auto"/>
          </w:tcPr>
          <w:p w14:paraId="2BF44C4E" w14:textId="393059C6" w:rsidR="00D745BB" w:rsidRPr="00B13277" w:rsidRDefault="001B7D8B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P</w:t>
            </w:r>
            <w:r w:rsidR="00D745BB" w:rsidRPr="00B13277">
              <w:rPr>
                <w:rFonts w:cs="Arial"/>
                <w:sz w:val="20"/>
                <w:szCs w:val="20"/>
                <w:lang w:val="fr-CA"/>
              </w:rPr>
              <w:t xml:space="preserve">N </w:t>
            </w:r>
            <w:r w:rsidR="0069134E">
              <w:rPr>
                <w:rFonts w:cs="Arial"/>
                <w:sz w:val="20"/>
                <w:szCs w:val="20"/>
                <w:lang w:val="fr-CA"/>
              </w:rPr>
              <w:t>communique avec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la CFPN pour obtenir des renseignements et connaître les processus </w:t>
            </w:r>
            <w:r w:rsidR="0069134E">
              <w:rPr>
                <w:rFonts w:cs="Arial"/>
                <w:sz w:val="20"/>
                <w:szCs w:val="20"/>
                <w:lang w:val="fr-CA"/>
              </w:rPr>
              <w:t xml:space="preserve">à suivre </w:t>
            </w:r>
            <w:r>
              <w:rPr>
                <w:rFonts w:cs="Arial"/>
                <w:sz w:val="20"/>
                <w:szCs w:val="20"/>
                <w:lang w:val="fr-CA"/>
              </w:rPr>
              <w:t>pour l’élaboration d’une loi sur l’accord d’emprunt.</w:t>
            </w:r>
          </w:p>
        </w:tc>
        <w:tc>
          <w:tcPr>
            <w:tcW w:w="2045" w:type="dxa"/>
            <w:shd w:val="clear" w:color="auto" w:fill="auto"/>
          </w:tcPr>
          <w:p w14:paraId="4660BD88" w14:textId="7A5F0F56" w:rsidR="00D745BB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D745BB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562023C7" w14:textId="5B1E0F38" w:rsidR="00D745BB" w:rsidRPr="00B13277" w:rsidRDefault="005A7D77" w:rsidP="00253C20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</w:tc>
        <w:tc>
          <w:tcPr>
            <w:tcW w:w="1970" w:type="dxa"/>
            <w:shd w:val="clear" w:color="auto" w:fill="auto"/>
          </w:tcPr>
          <w:p w14:paraId="2A096229" w14:textId="77777777" w:rsidR="00D745BB" w:rsidRPr="00B13277" w:rsidRDefault="00D745BB" w:rsidP="00C42BB9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101" w:type="dxa"/>
          </w:tcPr>
          <w:p w14:paraId="450782B4" w14:textId="77777777" w:rsidR="00D745BB" w:rsidRPr="009D349C" w:rsidRDefault="00D745BB" w:rsidP="009D349C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14:paraId="4572048F" w14:textId="77777777" w:rsidR="00F25DA6" w:rsidRPr="00B13277" w:rsidRDefault="00F25DA6" w:rsidP="00F25DA6">
      <w:pPr>
        <w:pStyle w:val="ListParagraph"/>
        <w:rPr>
          <w:rFonts w:cs="Arial"/>
          <w:b/>
          <w:bCs/>
          <w:sz w:val="28"/>
          <w:szCs w:val="28"/>
          <w:lang w:val="fr-CA"/>
        </w:rPr>
      </w:pPr>
    </w:p>
    <w:p w14:paraId="3755E837" w14:textId="517CD9FF" w:rsidR="00B775B7" w:rsidRPr="00B13277" w:rsidRDefault="002F294E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  <w:lang w:val="fr-CA"/>
        </w:rPr>
      </w:pPr>
      <w:r w:rsidRPr="00B13277">
        <w:rPr>
          <w:rFonts w:cs="Arial"/>
          <w:b/>
          <w:bCs/>
          <w:sz w:val="28"/>
          <w:szCs w:val="28"/>
          <w:lang w:val="fr-CA"/>
        </w:rPr>
        <w:t xml:space="preserve">Élaboration de la loi sur l’emprunt </w:t>
      </w:r>
      <w:r w:rsidR="00714A32">
        <w:rPr>
          <w:rFonts w:cs="Arial"/>
          <w:b/>
          <w:bCs/>
          <w:sz w:val="28"/>
          <w:szCs w:val="28"/>
          <w:lang w:val="fr-CA"/>
        </w:rPr>
        <w:t xml:space="preserve">de fonds </w:t>
      </w:r>
      <w:r w:rsidRPr="00B13277">
        <w:rPr>
          <w:rFonts w:cs="Arial"/>
          <w:b/>
          <w:bCs/>
          <w:sz w:val="28"/>
          <w:szCs w:val="28"/>
          <w:lang w:val="fr-CA"/>
        </w:rPr>
        <w:t xml:space="preserve">de la Première </w:t>
      </w:r>
      <w:r w:rsidR="00134335" w:rsidRPr="00B13277">
        <w:rPr>
          <w:rFonts w:cs="Arial"/>
          <w:b/>
          <w:bCs/>
          <w:sz w:val="28"/>
          <w:szCs w:val="28"/>
          <w:lang w:val="fr-CA"/>
        </w:rPr>
        <w:t>Nation</w:t>
      </w:r>
      <w:r w:rsidR="00D61E75" w:rsidRPr="00B13277">
        <w:rPr>
          <w:rFonts w:cs="Arial"/>
          <w:b/>
          <w:bCs/>
          <w:sz w:val="28"/>
          <w:szCs w:val="28"/>
          <w:lang w:val="fr-CA"/>
        </w:rPr>
        <w:t xml:space="preserve"> </w:t>
      </w:r>
    </w:p>
    <w:p w14:paraId="6CA45F0B" w14:textId="77777777" w:rsidR="00D61E75" w:rsidRPr="00B13277" w:rsidRDefault="00D61E75" w:rsidP="00B775B7">
      <w:pPr>
        <w:rPr>
          <w:rFonts w:cs="Arial"/>
          <w:sz w:val="22"/>
          <w:szCs w:val="22"/>
          <w:lang w:val="fr-CA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5"/>
        <w:gridCol w:w="4813"/>
        <w:gridCol w:w="14"/>
        <w:gridCol w:w="2031"/>
        <w:gridCol w:w="46"/>
        <w:gridCol w:w="2061"/>
        <w:gridCol w:w="41"/>
        <w:gridCol w:w="5963"/>
      </w:tblGrid>
      <w:tr w:rsidR="002F294E" w:rsidRPr="00B13277" w14:paraId="61D682DC" w14:textId="6A9163A7" w:rsidTr="00A3442D">
        <w:trPr>
          <w:tblHeader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F3BCE5D" w14:textId="2AB69B44" w:rsidR="00325C25" w:rsidRPr="00B13277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bookmarkStart w:id="0" w:name="_Hlk24098981"/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T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14:paraId="6468BDBE" w14:textId="5466E386" w:rsidR="00325C25" w:rsidRPr="00B13277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Activit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és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21441AE3" w14:textId="6AB0AE52" w:rsidR="00325C25" w:rsidRPr="00B13277" w:rsidRDefault="005A7D77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2148" w:type="dxa"/>
            <w:gridSpan w:val="3"/>
            <w:shd w:val="clear" w:color="auto" w:fill="D9D9D9" w:themeFill="background1" w:themeFillShade="D9"/>
            <w:vAlign w:val="center"/>
          </w:tcPr>
          <w:p w14:paraId="4CC8296A" w14:textId="69A2E0C9" w:rsidR="00325C25" w:rsidRPr="00B13277" w:rsidRDefault="005A7D77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Échéancier</w:t>
            </w:r>
          </w:p>
          <w:p w14:paraId="35E9B521" w14:textId="1C04689F" w:rsidR="00325C25" w:rsidRPr="00B13277" w:rsidRDefault="00325C25" w:rsidP="00D7517A">
            <w:pPr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sz w:val="22"/>
                <w:szCs w:val="22"/>
                <w:lang w:val="fr-CA"/>
              </w:rPr>
              <w:t>[</w:t>
            </w:r>
            <w:r w:rsidR="005A7D77" w:rsidRPr="00B13277">
              <w:rPr>
                <w:rFonts w:cs="Arial"/>
                <w:sz w:val="22"/>
                <w:szCs w:val="22"/>
                <w:lang w:val="fr-CA"/>
              </w:rPr>
              <w:t xml:space="preserve">date </w:t>
            </w:r>
            <w:r w:rsidRPr="00B13277">
              <w:rPr>
                <w:rFonts w:cs="Arial"/>
                <w:sz w:val="22"/>
                <w:szCs w:val="22"/>
                <w:lang w:val="fr-CA"/>
              </w:rPr>
              <w:t>e</w:t>
            </w:r>
            <w:r w:rsidR="00D61E75" w:rsidRPr="00B13277">
              <w:rPr>
                <w:rFonts w:cs="Arial"/>
                <w:sz w:val="22"/>
                <w:szCs w:val="22"/>
                <w:lang w:val="fr-CA"/>
              </w:rPr>
              <w:t>stimat</w:t>
            </w:r>
            <w:r w:rsidR="005A7D77" w:rsidRPr="00B13277">
              <w:rPr>
                <w:rFonts w:cs="Arial"/>
                <w:sz w:val="22"/>
                <w:szCs w:val="22"/>
                <w:lang w:val="fr-CA"/>
              </w:rPr>
              <w:t>ive</w:t>
            </w:r>
            <w:r w:rsidR="00D61E75" w:rsidRPr="00B13277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="005A7D77" w:rsidRPr="00B13277">
              <w:rPr>
                <w:rFonts w:cs="Arial"/>
                <w:sz w:val="22"/>
                <w:szCs w:val="22"/>
                <w:lang w:val="fr-CA"/>
              </w:rPr>
              <w:t>prévue</w:t>
            </w:r>
            <w:r w:rsidRPr="00B13277">
              <w:rPr>
                <w:rFonts w:cs="Arial"/>
                <w:sz w:val="22"/>
                <w:szCs w:val="22"/>
                <w:lang w:val="fr-CA"/>
              </w:rPr>
              <w:t>]</w:t>
            </w:r>
          </w:p>
        </w:tc>
        <w:tc>
          <w:tcPr>
            <w:tcW w:w="5963" w:type="dxa"/>
            <w:shd w:val="clear" w:color="auto" w:fill="D9D9D9" w:themeFill="background1" w:themeFillShade="D9"/>
            <w:vAlign w:val="center"/>
          </w:tcPr>
          <w:p w14:paraId="66A8F8D9" w14:textId="3B5BC5A7" w:rsidR="00325C25" w:rsidRPr="00B13277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Comment</w:t>
            </w:r>
            <w:r w:rsidR="005A7D77"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aire</w:t>
            </w:r>
            <w:r w:rsidRPr="00B13277">
              <w:rPr>
                <w:rFonts w:cs="Arial"/>
                <w:b/>
                <w:bCs/>
                <w:sz w:val="22"/>
                <w:szCs w:val="22"/>
                <w:lang w:val="fr-CA"/>
              </w:rPr>
              <w:t>s</w:t>
            </w:r>
          </w:p>
        </w:tc>
      </w:tr>
      <w:bookmarkEnd w:id="0"/>
      <w:tr w:rsidR="002F294E" w:rsidRPr="00B13277" w14:paraId="58A75F38" w14:textId="33A46B85" w:rsidTr="00A3442D">
        <w:trPr>
          <w:trHeight w:val="575"/>
        </w:trPr>
        <w:tc>
          <w:tcPr>
            <w:tcW w:w="2494" w:type="dxa"/>
            <w:shd w:val="clear" w:color="auto" w:fill="auto"/>
          </w:tcPr>
          <w:p w14:paraId="4D1669C2" w14:textId="767C5A32" w:rsidR="00325C25" w:rsidRPr="00B13277" w:rsidRDefault="002F294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Création de l’équipe chargée de la mise en œuvre de la loi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6FE41C67" w14:textId="070AE35D" w:rsidR="00325C25" w:rsidRPr="00B13277" w:rsidRDefault="00B13277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et la CFPN identifient les personnes-ressources pour l’élaboration de la loi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D228EF6" w14:textId="5E69A29F" w:rsidR="00325C25" w:rsidRPr="00B13277" w:rsidRDefault="005A7D77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51D32A70" w14:textId="0B50280A" w:rsidR="00325C25" w:rsidRPr="00B13277" w:rsidRDefault="005A7D77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2D0FF7EF" w14:textId="395831BE" w:rsidR="00325C25" w:rsidRPr="00B13277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5963" w:type="dxa"/>
          </w:tcPr>
          <w:p w14:paraId="45BDACC6" w14:textId="77777777" w:rsidR="00325C25" w:rsidRPr="00B13277" w:rsidRDefault="00325C25" w:rsidP="00665BF9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F294E" w:rsidRPr="00B13277" w14:paraId="502F716F" w14:textId="189A1182" w:rsidTr="00A3442D">
        <w:trPr>
          <w:trHeight w:val="548"/>
        </w:trPr>
        <w:tc>
          <w:tcPr>
            <w:tcW w:w="2494" w:type="dxa"/>
            <w:shd w:val="clear" w:color="auto" w:fill="auto"/>
          </w:tcPr>
          <w:p w14:paraId="27FCC78E" w14:textId="13F470D2" w:rsidR="00325C25" w:rsidRPr="00B13277" w:rsidRDefault="002F294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Confirmation par la PN du conseiller juridique retenu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27804EC1" w14:textId="72C27EF8" w:rsidR="00325C25" w:rsidRPr="00B13277" w:rsidRDefault="00B13277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confirme le nom du conseiller juridique chargé de l’élaboration de la loi et envoie les coordonnées de cette personne à la CFPN</w:t>
            </w:r>
            <w:r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05A167D" w14:textId="72F80AB2" w:rsidR="00325C25" w:rsidRPr="00B13277" w:rsidRDefault="005A7D77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1B1D5AC1" w14:textId="77E69F14" w:rsidR="00325C25" w:rsidRPr="00B13277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5963" w:type="dxa"/>
          </w:tcPr>
          <w:p w14:paraId="699E5914" w14:textId="027E469A" w:rsidR="00325C25" w:rsidRPr="00B13277" w:rsidRDefault="00325C25" w:rsidP="00665BF9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F294E" w:rsidRPr="00B13277" w14:paraId="0183DDF2" w14:textId="2FD6AF2C" w:rsidTr="00A3442D">
        <w:trPr>
          <w:trHeight w:val="1223"/>
        </w:trPr>
        <w:tc>
          <w:tcPr>
            <w:tcW w:w="2494" w:type="dxa"/>
            <w:shd w:val="clear" w:color="auto" w:fill="auto"/>
          </w:tcPr>
          <w:p w14:paraId="1B9D6432" w14:textId="124411B6" w:rsidR="00325C25" w:rsidRPr="00B13277" w:rsidRDefault="002F294E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Séances d’information ou consultations avec les contribuables potentiels ou les membres</w:t>
            </w:r>
            <w:r w:rsidR="007F3156"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, o</w:t>
            </w: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>u autres parties intéressées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75E53C32" w14:textId="77777777" w:rsidR="00B13277" w:rsidRPr="000C66DA" w:rsidRDefault="00B13277" w:rsidP="00B13277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rédige un exposé. La CFPN peut fournir des modèles d’exposés et un soutien technique.</w:t>
            </w:r>
          </w:p>
          <w:p w14:paraId="70BAF8A2" w14:textId="12408B0F" w:rsidR="006C756B" w:rsidRPr="00B13277" w:rsidRDefault="00B13277" w:rsidP="00B13277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choisit une date convenable pour la présentation de l’exposé</w:t>
            </w:r>
            <w:r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1084C407" w14:textId="26D1F563" w:rsidR="00325C25" w:rsidRPr="00B13277" w:rsidRDefault="005A7D77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70469D" w:rsidRPr="00B13277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  <w:r w:rsidR="0070469D" w:rsidRPr="00B13277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32AF134A" w14:textId="66304DD4" w:rsidR="00325C25" w:rsidRPr="00B13277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1 </w:t>
            </w:r>
            <w:r w:rsidR="00B13277" w:rsidRPr="00A47F6E">
              <w:rPr>
                <w:rFonts w:cs="Arial"/>
                <w:sz w:val="20"/>
                <w:szCs w:val="20"/>
                <w:lang w:val="fr-CA"/>
              </w:rPr>
              <w:t>o</w:t>
            </w:r>
            <w:r w:rsidR="00B13277">
              <w:rPr>
                <w:rFonts w:cs="Arial"/>
                <w:sz w:val="20"/>
                <w:szCs w:val="20"/>
                <w:lang w:val="fr-CA"/>
              </w:rPr>
              <w:t xml:space="preserve">u </w:t>
            </w:r>
            <w:r w:rsidR="00B13277" w:rsidRPr="000C66DA">
              <w:rPr>
                <w:rFonts w:cs="Arial"/>
                <w:noProof/>
                <w:sz w:val="20"/>
                <w:szCs w:val="20"/>
                <w:lang w:val="fr-CA"/>
              </w:rPr>
              <w:t>après l’élaboration de la loi et avant d’en donner préavis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5963" w:type="dxa"/>
          </w:tcPr>
          <w:p w14:paraId="5A0AE67A" w14:textId="57F9E8DC" w:rsidR="00325C25" w:rsidRPr="00B13277" w:rsidRDefault="002F294E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Facultatif</w:t>
            </w:r>
          </w:p>
        </w:tc>
      </w:tr>
      <w:tr w:rsidR="002F294E" w:rsidRPr="00B13277" w14:paraId="128ACA86" w14:textId="77777777" w:rsidTr="0043527D">
        <w:trPr>
          <w:trHeight w:val="5450"/>
        </w:trPr>
        <w:tc>
          <w:tcPr>
            <w:tcW w:w="2509" w:type="dxa"/>
            <w:gridSpan w:val="2"/>
            <w:shd w:val="clear" w:color="auto" w:fill="auto"/>
          </w:tcPr>
          <w:p w14:paraId="63C1A2B8" w14:textId="069AC75B" w:rsidR="00F15354" w:rsidRPr="00B13277" w:rsidRDefault="002F294E" w:rsidP="0043527D">
            <w:pPr>
              <w:pStyle w:val="ListParagraph"/>
              <w:numPr>
                <w:ilvl w:val="0"/>
                <w:numId w:val="39"/>
              </w:numPr>
              <w:ind w:left="431" w:hanging="357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lastRenderedPageBreak/>
              <w:t>Élaboration d’un plan de projet</w:t>
            </w:r>
          </w:p>
        </w:tc>
        <w:tc>
          <w:tcPr>
            <w:tcW w:w="4827" w:type="dxa"/>
            <w:gridSpan w:val="2"/>
            <w:shd w:val="clear" w:color="auto" w:fill="auto"/>
          </w:tcPr>
          <w:p w14:paraId="168C4D34" w14:textId="709FA354" w:rsidR="00F15354" w:rsidRPr="00B13277" w:rsidRDefault="00B1327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Élaborer un plan de projet à l’appui d</w:t>
            </w:r>
            <w:r w:rsidR="00714A32">
              <w:rPr>
                <w:rFonts w:cs="Arial"/>
                <w:sz w:val="20"/>
                <w:szCs w:val="20"/>
                <w:lang w:val="fr-CA"/>
              </w:rPr>
              <w:t xml:space="preserve">u projet de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loi sur l’emprunt </w:t>
            </w:r>
            <w:r w:rsidR="00714A32">
              <w:rPr>
                <w:rFonts w:cs="Arial"/>
                <w:sz w:val="20"/>
                <w:szCs w:val="20"/>
                <w:lang w:val="fr-CA"/>
              </w:rPr>
              <w:t>de fonds</w:t>
            </w:r>
          </w:p>
          <w:p w14:paraId="47A2CCEE" w14:textId="017FCE77" w:rsidR="00D55074" w:rsidRPr="00B13277" w:rsidRDefault="00D55074" w:rsidP="00D55074">
            <w:pPr>
              <w:numPr>
                <w:ilvl w:val="1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Contact</w:t>
            </w:r>
            <w:r w:rsidR="00B13277">
              <w:rPr>
                <w:rFonts w:cs="Arial"/>
                <w:sz w:val="20"/>
                <w:szCs w:val="20"/>
                <w:lang w:val="fr-CA"/>
              </w:rPr>
              <w:t>er la CFPN pour obtenir un modèle de plan de projet</w:t>
            </w:r>
          </w:p>
          <w:p w14:paraId="7841E4FB" w14:textId="1389A36B" w:rsidR="00F15354" w:rsidRPr="00B13277" w:rsidRDefault="00B13277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Avec l’AFPN, </w:t>
            </w:r>
            <w:r w:rsidR="00F94AB5">
              <w:rPr>
                <w:rFonts w:cs="Arial"/>
                <w:sz w:val="20"/>
                <w:szCs w:val="20"/>
                <w:lang w:val="fr-CA"/>
              </w:rPr>
              <w:t>déterminer le montant</w:t>
            </w:r>
            <w:r w:rsidR="0043527D">
              <w:rPr>
                <w:rFonts w:cs="Arial"/>
                <w:sz w:val="20"/>
                <w:szCs w:val="20"/>
                <w:lang w:val="fr-CA"/>
              </w:rPr>
              <w:t xml:space="preserve"> nécessaire</w:t>
            </w:r>
            <w:r w:rsidR="00F94AB5">
              <w:rPr>
                <w:rFonts w:cs="Arial"/>
                <w:sz w:val="20"/>
                <w:szCs w:val="20"/>
                <w:lang w:val="fr-CA"/>
              </w:rPr>
              <w:t xml:space="preserve"> à emprunter, la durée de l’emprunt et les paiements annuels à verser à l’AFPN.</w:t>
            </w:r>
          </w:p>
          <w:p w14:paraId="1F7A8DFF" w14:textId="707019EE" w:rsidR="00AA75D5" w:rsidRPr="00B13277" w:rsidRDefault="00F94AB5" w:rsidP="006174A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Avec la CFPN, faire une évaluation préliminaire de la marge d’emprunt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3BA63BC4" w14:textId="561455D8" w:rsidR="00F15354" w:rsidRPr="00B13277" w:rsidRDefault="005A7D7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N </w:t>
            </w:r>
          </w:p>
          <w:p w14:paraId="21DBA15F" w14:textId="37AD7F06" w:rsidR="00D55074" w:rsidRPr="00B13277" w:rsidRDefault="005A7D7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  <w:p w14:paraId="716EDBE6" w14:textId="379D20E0" w:rsidR="004A11DD" w:rsidRPr="00B13277" w:rsidRDefault="005A7D7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AFPN</w:t>
            </w:r>
          </w:p>
          <w:p w14:paraId="734F96A8" w14:textId="77777777" w:rsidR="00F15354" w:rsidRPr="00B13277" w:rsidRDefault="00F15354" w:rsidP="005F0ABE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2061" w:type="dxa"/>
            <w:shd w:val="clear" w:color="auto" w:fill="auto"/>
          </w:tcPr>
          <w:p w14:paraId="4F539DAC" w14:textId="7709DA41" w:rsidR="00F15354" w:rsidRPr="00B13277" w:rsidRDefault="00BA019E" w:rsidP="005F0ABE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3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 xml:space="preserve"> à </w:t>
            </w:r>
            <w:r w:rsidR="00F64208" w:rsidRPr="00B13277">
              <w:rPr>
                <w:rFonts w:cs="Arial"/>
                <w:sz w:val="20"/>
                <w:szCs w:val="20"/>
                <w:lang w:val="fr-CA"/>
              </w:rPr>
              <w:t>12 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</w:p>
        </w:tc>
        <w:tc>
          <w:tcPr>
            <w:tcW w:w="6004" w:type="dxa"/>
            <w:gridSpan w:val="2"/>
          </w:tcPr>
          <w:p w14:paraId="55D4A607" w14:textId="224F008A" w:rsidR="00F15354" w:rsidRPr="00B13277" w:rsidRDefault="002204FE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Le plan de projet </w:t>
            </w:r>
            <w:r w:rsidR="00B13277">
              <w:rPr>
                <w:rFonts w:cs="Arial"/>
                <w:sz w:val="20"/>
                <w:szCs w:val="20"/>
                <w:lang w:val="fr-CA"/>
              </w:rPr>
              <w:t>doit décrire le projet avec suffisamment de détails pour démontrer qu’il vise l’établissement d’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infrastructure</w:t>
            </w:r>
            <w:r w:rsidR="00B13277">
              <w:rPr>
                <w:rFonts w:cs="Arial"/>
                <w:sz w:val="20"/>
                <w:szCs w:val="20"/>
                <w:lang w:val="fr-CA"/>
              </w:rPr>
              <w:t>s destinées à la prestation de services locaux</w:t>
            </w:r>
            <w:r w:rsidR="0043527D">
              <w:rPr>
                <w:rFonts w:cs="Arial"/>
                <w:sz w:val="20"/>
                <w:szCs w:val="20"/>
                <w:lang w:val="fr-CA"/>
              </w:rPr>
              <w:t>,</w:t>
            </w:r>
            <w:r w:rsidR="00B13277">
              <w:rPr>
                <w:rFonts w:cs="Arial"/>
                <w:sz w:val="20"/>
                <w:szCs w:val="20"/>
                <w:lang w:val="fr-CA"/>
              </w:rPr>
              <w:t xml:space="preserve"> tel qu’il est prévu dans les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hyperlink r:id="rId12" w:history="1">
              <w:r w:rsidRPr="00B13277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Normes de la CFPN établissant les critères d’agrément des lois sur l’emprunt de fonds</w:t>
              </w:r>
            </w:hyperlink>
            <w:r w:rsidR="00F15354" w:rsidRPr="00B13277">
              <w:rPr>
                <w:rFonts w:cs="Arial"/>
                <w:sz w:val="20"/>
                <w:szCs w:val="20"/>
                <w:lang w:val="fr-CA"/>
              </w:rPr>
              <w:t>,</w:t>
            </w:r>
            <w:r w:rsidR="00B13277" w:rsidRPr="00B13277">
              <w:rPr>
                <w:rFonts w:cs="Arial"/>
                <w:sz w:val="20"/>
                <w:szCs w:val="20"/>
                <w:lang w:val="fr-CA"/>
              </w:rPr>
              <w:t xml:space="preserve"> et</w:t>
            </w:r>
            <w:r w:rsidR="00B13277" w:rsidRPr="00B13277">
              <w:rPr>
                <w:sz w:val="20"/>
                <w:szCs w:val="20"/>
              </w:rPr>
              <w:t xml:space="preserve"> </w:t>
            </w:r>
            <w:r w:rsidR="00B13277" w:rsidRPr="00B13277">
              <w:rPr>
                <w:sz w:val="20"/>
                <w:szCs w:val="20"/>
                <w:lang w:val="fr-CA"/>
              </w:rPr>
              <w:t>doit comprendre</w:t>
            </w:r>
            <w:r w:rsidR="00B13277">
              <w:rPr>
                <w:sz w:val="20"/>
                <w:szCs w:val="20"/>
                <w:lang w:val="fr-CA"/>
              </w:rPr>
              <w:t> :</w:t>
            </w:r>
          </w:p>
          <w:p w14:paraId="59F22C83" w14:textId="65BBD90F" w:rsidR="00F15354" w:rsidRPr="00B13277" w:rsidRDefault="00957383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une 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description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de la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 nature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du projet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;</w:t>
            </w:r>
          </w:p>
          <w:p w14:paraId="3AA292DA" w14:textId="7D5D7588" w:rsidR="00F15354" w:rsidRPr="00B13277" w:rsidRDefault="00957383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une 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description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de la façon dont le projet profitera à la communauté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;</w:t>
            </w:r>
          </w:p>
          <w:p w14:paraId="09E8994E" w14:textId="13FCE665" w:rsidR="00F15354" w:rsidRPr="00B13277" w:rsidRDefault="00957383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une 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description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de la façon dont le projet répond aux besoins à long terme de la communauté en matière d’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infrastructure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s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;</w:t>
            </w:r>
          </w:p>
          <w:p w14:paraId="3B4DEC39" w14:textId="27EDFA10" w:rsidR="00F15354" w:rsidRPr="00B13277" w:rsidRDefault="00B13277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d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é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tails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de la façon dont le projet sera cautionné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;</w:t>
            </w:r>
          </w:p>
          <w:p w14:paraId="376C2AF6" w14:textId="3BD90654" w:rsidR="00F15354" w:rsidRPr="00B13277" w:rsidRDefault="00B13277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une </w:t>
            </w:r>
            <w:r w:rsidRPr="00B13277">
              <w:rPr>
                <w:sz w:val="20"/>
                <w:szCs w:val="20"/>
                <w:lang w:val="fr-CA"/>
              </w:rPr>
              <w:t>mention indiquant si le projet vise à fournir une nouvelle infrastructure ou à agrandir, améliorer ou remplacer une infrastructure existante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;</w:t>
            </w:r>
          </w:p>
          <w:p w14:paraId="4BB8FA8E" w14:textId="16144DD9" w:rsidR="00F15354" w:rsidRPr="00B13277" w:rsidRDefault="00B13277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d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ét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>ails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concernant le financement proposé pour le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 projet;</w:t>
            </w:r>
          </w:p>
          <w:p w14:paraId="01B5241B" w14:textId="79BF6785" w:rsidR="00F15354" w:rsidRPr="00B13277" w:rsidRDefault="00B13277" w:rsidP="005F0ABE">
            <w:pPr>
              <w:pStyle w:val="ListParagraph"/>
              <w:numPr>
                <w:ilvl w:val="1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une </w:t>
            </w:r>
            <w:r w:rsidRPr="00B13277">
              <w:rPr>
                <w:sz w:val="20"/>
                <w:szCs w:val="20"/>
                <w:lang w:val="fr-CA"/>
              </w:rPr>
              <w:t>estimation détaillée des coûts de construction, d’exploitation et d’entretien de l’infrastructure et de son remplacement éventuel.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1270F59A" w14:textId="6F05F4D7" w:rsidR="004B6ABB" w:rsidRPr="00B13277" w:rsidRDefault="0043527D" w:rsidP="004B6AB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Le plan de projet d</w:t>
            </w:r>
            <w:r w:rsidR="00B13277" w:rsidRPr="00B13277">
              <w:rPr>
                <w:rFonts w:cs="Arial"/>
                <w:sz w:val="20"/>
                <w:szCs w:val="20"/>
                <w:lang w:val="fr-CA"/>
              </w:rPr>
              <w:t>oit être soumis à la CFPN avec la version définitive de la loi.</w:t>
            </w:r>
          </w:p>
        </w:tc>
      </w:tr>
      <w:tr w:rsidR="002F294E" w:rsidRPr="00B13277" w14:paraId="67E5AF51" w14:textId="77777777" w:rsidTr="00A3442D">
        <w:trPr>
          <w:trHeight w:val="980"/>
        </w:trPr>
        <w:tc>
          <w:tcPr>
            <w:tcW w:w="2509" w:type="dxa"/>
            <w:gridSpan w:val="2"/>
            <w:shd w:val="clear" w:color="auto" w:fill="auto"/>
          </w:tcPr>
          <w:p w14:paraId="71882548" w14:textId="21B3BCC1" w:rsidR="00F15354" w:rsidRPr="00B13277" w:rsidRDefault="002F294E" w:rsidP="0043527D">
            <w:pPr>
              <w:pStyle w:val="ListParagraph"/>
              <w:numPr>
                <w:ilvl w:val="0"/>
                <w:numId w:val="39"/>
              </w:numPr>
              <w:ind w:left="431" w:hanging="357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9E44F0">
              <w:rPr>
                <w:rFonts w:cs="Arial"/>
                <w:color w:val="000000"/>
                <w:sz w:val="20"/>
                <w:szCs w:val="20"/>
                <w:lang w:val="fr-CA"/>
              </w:rPr>
              <w:t>Certification du plan de projet par un professionnel agréé</w:t>
            </w:r>
          </w:p>
        </w:tc>
        <w:tc>
          <w:tcPr>
            <w:tcW w:w="4827" w:type="dxa"/>
            <w:gridSpan w:val="2"/>
            <w:shd w:val="clear" w:color="auto" w:fill="auto"/>
          </w:tcPr>
          <w:p w14:paraId="0F0B3A9D" w14:textId="4E0F90AC" w:rsidR="00F15354" w:rsidRPr="00B13277" w:rsidRDefault="002204FE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E7027C">
              <w:rPr>
                <w:rFonts w:cs="Arial"/>
                <w:sz w:val="20"/>
                <w:szCs w:val="20"/>
                <w:lang w:val="fr-CA"/>
              </w:rPr>
              <w:t>Un professionnel agréé certifie que le plan de projet co</w:t>
            </w:r>
            <w:r w:rsidR="009E44F0">
              <w:rPr>
                <w:rFonts w:cs="Arial"/>
                <w:sz w:val="20"/>
                <w:szCs w:val="20"/>
                <w:lang w:val="fr-CA"/>
              </w:rPr>
              <w:t>ntient</w:t>
            </w:r>
            <w:r w:rsidRPr="00E7027C">
              <w:rPr>
                <w:rFonts w:cs="Arial"/>
                <w:sz w:val="20"/>
                <w:szCs w:val="20"/>
                <w:lang w:val="fr-CA"/>
              </w:rPr>
              <w:t xml:space="preserve"> les éléments requis.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3CD44B76" w14:textId="77A40E80" w:rsidR="00F15354" w:rsidRPr="00B13277" w:rsidRDefault="005A7D77" w:rsidP="005F0ABE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873B7" w:rsidRPr="00B13277">
              <w:rPr>
                <w:rFonts w:cs="Arial"/>
                <w:sz w:val="20"/>
                <w:szCs w:val="20"/>
                <w:lang w:val="fr-CA"/>
              </w:rPr>
              <w:t xml:space="preserve">N /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professionnel agréé</w:t>
            </w:r>
          </w:p>
        </w:tc>
        <w:tc>
          <w:tcPr>
            <w:tcW w:w="2061" w:type="dxa"/>
            <w:shd w:val="clear" w:color="auto" w:fill="auto"/>
          </w:tcPr>
          <w:p w14:paraId="375FD113" w14:textId="77777777" w:rsidR="00F15354" w:rsidRPr="00B13277" w:rsidRDefault="00F15354" w:rsidP="005F0ABE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004" w:type="dxa"/>
            <w:gridSpan w:val="2"/>
          </w:tcPr>
          <w:p w14:paraId="71E48C42" w14:textId="5C37BB57" w:rsidR="00F15354" w:rsidRPr="00B13277" w:rsidRDefault="002204FE" w:rsidP="005F0ABE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Le certificat doit être annexé au plan de projet soumis à la CFPN avec la version définitive de la loi.</w:t>
            </w:r>
            <w:r w:rsidR="00F15354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F294E" w:rsidRPr="00B13277" w14:paraId="254C1727" w14:textId="77777777" w:rsidTr="00A3442D">
        <w:trPr>
          <w:trHeight w:val="1970"/>
        </w:trPr>
        <w:tc>
          <w:tcPr>
            <w:tcW w:w="2494" w:type="dxa"/>
            <w:shd w:val="clear" w:color="auto" w:fill="auto"/>
          </w:tcPr>
          <w:p w14:paraId="2B739996" w14:textId="7A1B8CE9" w:rsidR="00073FAF" w:rsidRPr="00B13277" w:rsidRDefault="002F294E" w:rsidP="00605863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Élaboration de la loi </w:t>
            </w:r>
            <w:r w:rsidRPr="00E7027C">
              <w:rPr>
                <w:rFonts w:cs="Arial"/>
                <w:color w:val="000000"/>
                <w:sz w:val="20"/>
                <w:szCs w:val="20"/>
                <w:lang w:val="fr-CA"/>
              </w:rPr>
              <w:t>sur l’emprunt</w:t>
            </w:r>
            <w:r w:rsidR="00714A32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de fonds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714EF6DD" w14:textId="290D3CD5" w:rsidR="00FB4E41" w:rsidRPr="00B13277" w:rsidRDefault="00FB4E41" w:rsidP="00FB4E41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Obtenir </w:t>
            </w:r>
            <w:r w:rsidR="00714A32">
              <w:rPr>
                <w:rFonts w:cs="Arial"/>
                <w:noProof/>
                <w:sz w:val="20"/>
                <w:szCs w:val="20"/>
                <w:lang w:val="fr-CA"/>
              </w:rPr>
              <w:t>de la CFPN un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modèle de loi sur l’emprunt de </w:t>
            </w:r>
            <w:r w:rsidR="00714A32">
              <w:rPr>
                <w:rFonts w:cs="Arial"/>
                <w:noProof/>
                <w:sz w:val="20"/>
                <w:szCs w:val="20"/>
                <w:lang w:val="fr-CA"/>
              </w:rPr>
              <w:t>fonds</w:t>
            </w:r>
          </w:p>
          <w:p w14:paraId="3FC6F4F7" w14:textId="08EFC46B" w:rsidR="00FB4E41" w:rsidRPr="00B13277" w:rsidRDefault="00FB4E41" w:rsidP="00FB4E41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Pr="00B13277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ère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du projet de loi</w:t>
            </w:r>
          </w:p>
          <w:p w14:paraId="6239E8CC" w14:textId="384D402C" w:rsidR="00FB4E41" w:rsidRPr="00B13277" w:rsidRDefault="00FB4E41" w:rsidP="008337AB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Préparer le </w:t>
            </w:r>
            <w:bookmarkStart w:id="1" w:name="_Hlk116653964"/>
            <w:r w:rsidRPr="00B13277">
              <w:rPr>
                <w:rFonts w:cs="Arial"/>
                <w:sz w:val="20"/>
                <w:szCs w:val="20"/>
                <w:lang w:val="fr-CA"/>
              </w:rPr>
              <w:t xml:space="preserve">Certificat </w:t>
            </w:r>
            <w:r w:rsidRPr="00B13277">
              <w:rPr>
                <w:sz w:val="20"/>
                <w:szCs w:val="20"/>
                <w:lang w:val="fr-CA"/>
              </w:rPr>
              <w:t xml:space="preserve">des éléments de passif fixe et du calcul de la capacité d’emprunt </w:t>
            </w:r>
            <w:bookmarkEnd w:id="1"/>
          </w:p>
          <w:p w14:paraId="62A4D3B7" w14:textId="77777777" w:rsidR="00FB4E41" w:rsidRPr="00B13277" w:rsidRDefault="00FB4E41" w:rsidP="00FB4E41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Examen par la PN des commentaires de la CFPN et 2</w:t>
            </w:r>
            <w:r w:rsidRPr="00B13277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e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du projet de loi</w:t>
            </w:r>
          </w:p>
          <w:p w14:paraId="685B0C1D" w14:textId="77777777" w:rsidR="00FB4E41" w:rsidRPr="00B13277" w:rsidRDefault="00FB4E41" w:rsidP="00FB4E41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Projet de loi définitif soumis au chef et au conseil</w:t>
            </w:r>
          </w:p>
          <w:p w14:paraId="72FA2948" w14:textId="4DF2DF77" w:rsidR="00073FAF" w:rsidRPr="00B13277" w:rsidRDefault="00FB4E41" w:rsidP="00FB4E41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RCB de la PN approuvant le projet de loi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020E9969" w14:textId="5FC4F114" w:rsidR="00073FAF" w:rsidRPr="00B13277" w:rsidRDefault="005A7D77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PN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 xml:space="preserve">) 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et CFPN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051FF424" w14:textId="503305BB" w:rsidR="00073FAF" w:rsidRPr="00B13277" w:rsidRDefault="005A7D77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PN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736BA45D" w14:textId="37E2E900" w:rsidR="00F63186" w:rsidRPr="00B13277" w:rsidRDefault="005A7D77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D1128B" w:rsidRPr="00B13277">
              <w:rPr>
                <w:rFonts w:cs="Arial"/>
                <w:sz w:val="20"/>
                <w:szCs w:val="20"/>
                <w:lang w:val="fr-CA"/>
              </w:rPr>
              <w:t>N/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AFPN</w:t>
            </w:r>
            <w:r w:rsidR="00D1128B" w:rsidRPr="00B13277">
              <w:rPr>
                <w:rFonts w:cs="Arial"/>
                <w:sz w:val="20"/>
                <w:szCs w:val="20"/>
                <w:lang w:val="fr-CA"/>
              </w:rPr>
              <w:t>/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</w:p>
          <w:p w14:paraId="1D69BD8E" w14:textId="77777777" w:rsidR="00F63186" w:rsidRPr="00B13277" w:rsidRDefault="00F63186" w:rsidP="00D1128B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30E980F0" w14:textId="12676088" w:rsidR="00F63186" w:rsidRPr="00B13277" w:rsidRDefault="005A7D77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D1128B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522DDEBD" w14:textId="77777777" w:rsidR="009E44F0" w:rsidRDefault="009E44F0" w:rsidP="009E44F0">
            <w:pPr>
              <w:ind w:left="-22"/>
              <w:rPr>
                <w:rFonts w:cs="Arial"/>
                <w:sz w:val="20"/>
                <w:szCs w:val="20"/>
                <w:lang w:val="fr-CA"/>
              </w:rPr>
            </w:pPr>
          </w:p>
          <w:p w14:paraId="35E5B5E3" w14:textId="3D03B46F" w:rsidR="00073FAF" w:rsidRPr="00B13277" w:rsidRDefault="005A7D77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>N (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487FA7C3" w14:textId="4988F7A7" w:rsidR="00073FAF" w:rsidRPr="00B13277" w:rsidRDefault="00073FAF" w:rsidP="0060586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Chef 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 xml:space="preserve">et </w:t>
            </w:r>
            <w:r w:rsidR="009E44F0">
              <w:rPr>
                <w:rFonts w:cs="Arial"/>
                <w:sz w:val="20"/>
                <w:szCs w:val="20"/>
                <w:lang w:val="fr-CA"/>
              </w:rPr>
              <w:t>c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o</w:t>
            </w:r>
            <w:r w:rsidR="005A7D77" w:rsidRPr="00B13277">
              <w:rPr>
                <w:rFonts w:cs="Arial"/>
                <w:sz w:val="20"/>
                <w:szCs w:val="20"/>
                <w:lang w:val="fr-CA"/>
              </w:rPr>
              <w:t>nsei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l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6453BA61" w14:textId="19D61F95" w:rsidR="00073FAF" w:rsidRPr="00B13277" w:rsidRDefault="00073FAF" w:rsidP="00605863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1</w:t>
            </w:r>
            <w:r w:rsidR="009E44F0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-</w:t>
            </w:r>
            <w:r w:rsidR="009E44F0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5963" w:type="dxa"/>
          </w:tcPr>
          <w:p w14:paraId="0FF135D1" w14:textId="17E46408" w:rsidR="002204FE" w:rsidRPr="00B13277" w:rsidRDefault="002204FE" w:rsidP="002204FE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Une fois le conseiller juridique de la PN confirmé, le temps de rédaction dépend de la vitesse d’exécution de celui-ci (généralement de 2 à 3 mois).</w:t>
            </w:r>
          </w:p>
          <w:p w14:paraId="6555BD4D" w14:textId="6B780E3C" w:rsidR="00073FAF" w:rsidRPr="00B13277" w:rsidRDefault="002204FE" w:rsidP="00605863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Une subvention pour l’élaboration de la loi peut être disponible</w:t>
            </w:r>
            <w:r w:rsidR="00073FAF" w:rsidRPr="00B13277">
              <w:rPr>
                <w:rFonts w:cs="Arial"/>
                <w:sz w:val="20"/>
                <w:szCs w:val="20"/>
                <w:lang w:val="fr-CA"/>
              </w:rPr>
              <w:t xml:space="preserve">. </w:t>
            </w:r>
          </w:p>
        </w:tc>
      </w:tr>
      <w:tr w:rsidR="002F294E" w:rsidRPr="00B13277" w14:paraId="18CD1B56" w14:textId="0C59BE12" w:rsidTr="00A3442D">
        <w:trPr>
          <w:trHeight w:val="3437"/>
        </w:trPr>
        <w:tc>
          <w:tcPr>
            <w:tcW w:w="2494" w:type="dxa"/>
            <w:shd w:val="clear" w:color="auto" w:fill="auto"/>
          </w:tcPr>
          <w:p w14:paraId="5B44D450" w14:textId="514A2953" w:rsidR="00325C25" w:rsidRPr="00B13277" w:rsidRDefault="002F294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lastRenderedPageBreak/>
              <w:t xml:space="preserve">Délai de présentation d’observations </w:t>
            </w:r>
            <w:r w:rsidR="00061EC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au titre de la LGFPN </w:t>
            </w: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et délai de préavis</w:t>
            </w:r>
            <w:r w:rsidRPr="00B13277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421CD897" w14:textId="1BBAF0F8" w:rsidR="00FB4E41" w:rsidRPr="00B13277" w:rsidRDefault="00FB4E41" w:rsidP="006041A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Préparation du préavis </w:t>
            </w:r>
          </w:p>
          <w:p w14:paraId="67ADE368" w14:textId="77777777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>Transmission du préavis par courrier ou voie électronique à la CFPN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(registraire de la CFPN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14FA02B9" w14:textId="60BB7731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Affichage du préavis dans un lieu public de la réserve.</w:t>
            </w:r>
          </w:p>
          <w:p w14:paraId="564722EF" w14:textId="18A66962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Publication du préavis dans la </w:t>
            </w:r>
            <w:hyperlink r:id="rId13" w:history="1">
              <w:r w:rsidRPr="00B13277">
                <w:rPr>
                  <w:rStyle w:val="Hyperlink"/>
                  <w:rFonts w:cs="Arial"/>
                  <w:i/>
                  <w:noProof/>
                  <w:sz w:val="20"/>
                  <w:szCs w:val="20"/>
                  <w:lang w:val="fr-CA"/>
                </w:rPr>
                <w:t>G</w:t>
              </w:r>
              <w:r w:rsidRPr="00B13277">
                <w:rPr>
                  <w:rStyle w:val="Hyperlink"/>
                  <w:i/>
                  <w:sz w:val="20"/>
                  <w:szCs w:val="20"/>
                  <w:lang w:val="fr-CA"/>
                </w:rPr>
                <w:t>azette des premières nations</w:t>
              </w:r>
            </w:hyperlink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43259E68" w14:textId="10AB2E09" w:rsidR="00FB4E41" w:rsidRPr="00B13277" w:rsidRDefault="00FB4E41" w:rsidP="00FB4E41">
            <w:pPr>
              <w:numPr>
                <w:ilvl w:val="0"/>
                <w:numId w:val="13"/>
              </w:numPr>
              <w:rPr>
                <w:rStyle w:val="Hyperlink"/>
                <w:rFonts w:cs="Arial"/>
                <w:noProof/>
                <w:color w:val="auto"/>
                <w:sz w:val="20"/>
                <w:szCs w:val="20"/>
                <w:u w:val="none"/>
                <w:lang w:val="fr-CA"/>
              </w:rPr>
            </w:pPr>
            <w:r w:rsidRPr="00B13277">
              <w:rPr>
                <w:rStyle w:val="Hyperlink"/>
                <w:rFonts w:cs="Arial"/>
                <w:noProof/>
                <w:color w:val="auto"/>
                <w:sz w:val="20"/>
                <w:szCs w:val="20"/>
                <w:u w:val="none"/>
                <w:lang w:val="fr-CA"/>
              </w:rPr>
              <w:t>Mise à dispositon du plan de projet pour consultation</w:t>
            </w:r>
          </w:p>
          <w:p w14:paraId="02141FB7" w14:textId="77777777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Distribution sur demande d’une copie de la loi.</w:t>
            </w:r>
          </w:p>
          <w:p w14:paraId="591170BE" w14:textId="77777777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>Transmission d’une copie du projet de loi à la CFPN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0D1F0AE3" w14:textId="77777777" w:rsidR="00FB4E41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>Conservation des observations écrites présentées à la CFPN au sujet de la loi et dans le cadre du processus de consultation (ce qui comprend les courriels)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.  </w:t>
            </w:r>
          </w:p>
          <w:p w14:paraId="21F48D8B" w14:textId="50BBF04A" w:rsidR="006B2BC9" w:rsidRPr="00B13277" w:rsidRDefault="00FB4E41" w:rsidP="00FB4E41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Si une assemblée publique est tenue, consignation des </w:t>
            </w:r>
            <w:r w:rsidRPr="00B13277">
              <w:rPr>
                <w:noProof/>
                <w:sz w:val="20"/>
                <w:szCs w:val="20"/>
                <w:lang w:val="fr-CA"/>
              </w:rPr>
              <w:t>observations orales présentées au sujet du projet de loi lors de cette assemblée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3DE6CD69" w14:textId="76A57261" w:rsidR="00325C25" w:rsidRPr="00B13277" w:rsidRDefault="005A7D77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et CFPN</w:t>
            </w:r>
          </w:p>
          <w:p w14:paraId="5A630CA9" w14:textId="7E83E111" w:rsidR="00325C25" w:rsidRPr="00B13277" w:rsidRDefault="005A7D77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45160932" w14:textId="1974F796" w:rsidR="006B2BC9" w:rsidRPr="00B13277" w:rsidRDefault="005A7D77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2F288A20" w14:textId="7BDB5D5C" w:rsidR="00325C25" w:rsidRPr="00B13277" w:rsidRDefault="00325C25" w:rsidP="006B2BC9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14:paraId="6FCDA9A7" w14:textId="7A39D09E" w:rsidR="00F05DEC" w:rsidRPr="00B13277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2E253A"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="002E253A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76425" w:rsidRPr="00B13277">
              <w:rPr>
                <w:rFonts w:cs="Arial"/>
                <w:sz w:val="20"/>
                <w:szCs w:val="20"/>
                <w:lang w:val="fr-CA"/>
              </w:rPr>
              <w:t>3 - 4</w:t>
            </w:r>
          </w:p>
          <w:p w14:paraId="1B76E31D" w14:textId="77777777" w:rsidR="00325C25" w:rsidRPr="00B13277" w:rsidRDefault="00325C25" w:rsidP="00D41E85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  <w:p w14:paraId="2D14FA25" w14:textId="48485F25" w:rsidR="00F05DEC" w:rsidRPr="00B13277" w:rsidRDefault="00F05DEC" w:rsidP="00D41E85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5963" w:type="dxa"/>
          </w:tcPr>
          <w:p w14:paraId="7A25468C" w14:textId="2989E6BD" w:rsidR="00703270" w:rsidRPr="00B13277" w:rsidRDefault="00703270" w:rsidP="0070327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L’obligation de donner préavis du projet de loi est une exigence </w:t>
            </w:r>
            <w:r w:rsidRPr="00B13277">
              <w:rPr>
                <w:sz w:val="20"/>
                <w:szCs w:val="20"/>
                <w:lang w:val="fr-CA"/>
              </w:rPr>
              <w:t xml:space="preserve">des </w:t>
            </w:r>
            <w:hyperlink r:id="rId14" w:history="1">
              <w:r w:rsidRPr="00B13277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Normes de la CF</w:t>
              </w:r>
              <w:r w:rsidR="00034163" w:rsidRPr="00B13277">
                <w:rPr>
                  <w:rStyle w:val="Hyperlink"/>
                  <w:rFonts w:cs="Arial"/>
                  <w:sz w:val="20"/>
                  <w:szCs w:val="20"/>
                  <w:lang w:val="fr-CA"/>
                </w:rPr>
                <w:t>PN établissant les critères d’agrément des lois sur l’emprunt de fonds</w:t>
              </w:r>
            </w:hyperlink>
          </w:p>
          <w:p w14:paraId="44D869A4" w14:textId="5B5AB88F" w:rsidR="00703270" w:rsidRPr="00B13277" w:rsidRDefault="00703270" w:rsidP="0070327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La CFPN a rédigé un modèle de préavis d’une page. Le préavis contient une description de la loi proposée et invite les intéressés à présenter des observations sur </w:t>
            </w:r>
            <w:r w:rsidR="00B50F60">
              <w:rPr>
                <w:rFonts w:cs="Arial"/>
                <w:noProof/>
                <w:sz w:val="20"/>
                <w:szCs w:val="20"/>
                <w:lang w:val="fr-CA"/>
              </w:rPr>
              <w:t>l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>e projet de loi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. Il donne aussi les coordonnées des personnes-ressources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et précise où on peut consulter </w:t>
            </w:r>
            <w:r w:rsidR="00B50F60">
              <w:rPr>
                <w:rFonts w:cs="Arial"/>
                <w:noProof/>
                <w:sz w:val="20"/>
                <w:szCs w:val="20"/>
                <w:lang w:val="fr-CA"/>
              </w:rPr>
              <w:t xml:space="preserve">un exemplaire du 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>plan de projet.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. Si la Première Nation choisit de tenir une assemblée publique, le préavis indiquera les date, heure et lieu de cette assemblée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3D59A167" w14:textId="77777777" w:rsidR="00703270" w:rsidRPr="00B13277" w:rsidRDefault="00703270" w:rsidP="0070327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La CFPN peut fournir un modèle de plan de consultation pour faciliter les activités de consultation et de préavis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. </w:t>
            </w:r>
          </w:p>
          <w:p w14:paraId="3291CAAE" w14:textId="67E8715D" w:rsidR="00703270" w:rsidRPr="00B13277" w:rsidRDefault="00703270" w:rsidP="00703270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Le délai de préavis 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>doit commencer au moins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>30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jours</w:t>
            </w:r>
            <w:r w:rsidR="00034163"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avant l’édiction de la loi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69DD7F0B" w14:textId="42673F68" w:rsidR="008C7947" w:rsidRPr="00B13277" w:rsidRDefault="008C7947" w:rsidP="00B50F60">
            <w:pPr>
              <w:ind w:left="-2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F294E" w:rsidRPr="00B13277" w14:paraId="4A30D8E5" w14:textId="2D20C7D7" w:rsidTr="00061EC9">
        <w:trPr>
          <w:trHeight w:val="1055"/>
        </w:trPr>
        <w:tc>
          <w:tcPr>
            <w:tcW w:w="2494" w:type="dxa"/>
            <w:shd w:val="clear" w:color="auto" w:fill="auto"/>
          </w:tcPr>
          <w:p w14:paraId="17AB8F2C" w14:textId="61612455" w:rsidR="00325C25" w:rsidRPr="00B13277" w:rsidRDefault="002F294E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 xml:space="preserve">Approbation par la PN et transmission de la loi </w:t>
            </w: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(après le délai de présentation d’observations)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2E6E6F39" w14:textId="77777777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>Examen des observations (s’il y a lieu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</w:p>
          <w:p w14:paraId="5DADA064" w14:textId="77777777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Approbation de la loi par le chef et le conseil.</w:t>
            </w:r>
          </w:p>
          <w:p w14:paraId="68EF0F7E" w14:textId="691F95CD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Invitation à présenter d’autres observations à la CFPN (</w:t>
            </w:r>
            <w:r w:rsidRPr="00B13277">
              <w:rPr>
                <w:rFonts w:cs="Arial"/>
                <w:i/>
                <w:iCs/>
                <w:noProof/>
                <w:sz w:val="20"/>
                <w:szCs w:val="20"/>
                <w:lang w:val="fr-CA"/>
              </w:rPr>
              <w:t>si des observations écrites ont été présentées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). </w:t>
            </w:r>
          </w:p>
          <w:p w14:paraId="36323595" w14:textId="01D0D3A0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noProof/>
                <w:sz w:val="20"/>
                <w:szCs w:val="20"/>
                <w:lang w:val="fr-CA"/>
              </w:rPr>
              <w:t xml:space="preserve">Lettre de confirmation attestant que les exigences </w:t>
            </w:r>
            <w:r w:rsidR="006664AF">
              <w:rPr>
                <w:noProof/>
                <w:sz w:val="20"/>
                <w:szCs w:val="20"/>
                <w:lang w:val="fr-CA"/>
              </w:rPr>
              <w:t>prévues à</w:t>
            </w:r>
            <w:r w:rsidR="006664AF" w:rsidRPr="00B13277">
              <w:rPr>
                <w:noProof/>
                <w:sz w:val="20"/>
                <w:szCs w:val="20"/>
                <w:lang w:val="fr-CA"/>
              </w:rPr>
              <w:t xml:space="preserve"> l’article 8 </w:t>
            </w:r>
            <w:r w:rsidRPr="00B13277">
              <w:rPr>
                <w:noProof/>
                <w:sz w:val="20"/>
                <w:szCs w:val="20"/>
                <w:lang w:val="fr-CA"/>
              </w:rPr>
              <w:t>de la LGFPN et les normes de la CFPN ont été respectées.</w:t>
            </w:r>
          </w:p>
          <w:p w14:paraId="62B75616" w14:textId="58516B8D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Transmission de la loi et des documents </w:t>
            </w:r>
            <w:r w:rsidR="00B50F60">
              <w:rPr>
                <w:rFonts w:cs="Arial"/>
                <w:noProof/>
                <w:sz w:val="20"/>
                <w:szCs w:val="20"/>
                <w:lang w:val="fr-CA"/>
              </w:rPr>
              <w:t>d’accompagnement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à la registraire de la CFPN.</w:t>
            </w:r>
          </w:p>
          <w:p w14:paraId="7A074EDA" w14:textId="38FEF5E3" w:rsidR="003A750F" w:rsidRPr="00B13277" w:rsidRDefault="003A750F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Plan</w:t>
            </w:r>
            <w:r w:rsidR="007C34B9" w:rsidRPr="00B13277">
              <w:rPr>
                <w:rFonts w:cs="Arial"/>
                <w:sz w:val="20"/>
                <w:szCs w:val="20"/>
                <w:lang w:val="fr-CA"/>
              </w:rPr>
              <w:t xml:space="preserve"> de projet</w:t>
            </w:r>
          </w:p>
          <w:p w14:paraId="076EFFCE" w14:textId="1D497D87" w:rsidR="003A750F" w:rsidRPr="00E7027C" w:rsidRDefault="00E7027C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Attestation</w:t>
            </w:r>
            <w:r w:rsidR="007C34B9" w:rsidRPr="00E7027C">
              <w:rPr>
                <w:rFonts w:cs="Arial"/>
                <w:sz w:val="20"/>
                <w:szCs w:val="20"/>
                <w:lang w:val="fr-CA"/>
              </w:rPr>
              <w:t xml:space="preserve"> du professionnel agréé con</w:t>
            </w:r>
            <w:r w:rsidR="00B50F60">
              <w:rPr>
                <w:rFonts w:cs="Arial"/>
                <w:sz w:val="20"/>
                <w:szCs w:val="20"/>
                <w:lang w:val="fr-CA"/>
              </w:rPr>
              <w:t>firmant</w:t>
            </w:r>
            <w:r w:rsidR="007C34B9" w:rsidRPr="00E7027C">
              <w:rPr>
                <w:rFonts w:cs="Arial"/>
                <w:sz w:val="20"/>
                <w:szCs w:val="20"/>
                <w:lang w:val="fr-CA"/>
              </w:rPr>
              <w:t xml:space="preserve"> son statut </w:t>
            </w:r>
            <w:r w:rsidRPr="00E7027C">
              <w:rPr>
                <w:rFonts w:cs="Arial"/>
                <w:sz w:val="20"/>
                <w:szCs w:val="20"/>
                <w:lang w:val="fr-CA"/>
              </w:rPr>
              <w:t xml:space="preserve">en règle </w:t>
            </w:r>
            <w:r w:rsidR="007C34B9" w:rsidRPr="00E7027C">
              <w:rPr>
                <w:rFonts w:cs="Arial"/>
                <w:sz w:val="20"/>
                <w:szCs w:val="20"/>
                <w:lang w:val="fr-CA"/>
              </w:rPr>
              <w:t>et l</w:t>
            </w:r>
            <w:r w:rsidRPr="00E7027C">
              <w:rPr>
                <w:rFonts w:cs="Arial"/>
                <w:sz w:val="20"/>
                <w:szCs w:val="20"/>
                <w:lang w:val="fr-CA"/>
              </w:rPr>
              <w:t>’</w:t>
            </w:r>
            <w:r w:rsidR="007C34B9" w:rsidRPr="00E7027C">
              <w:rPr>
                <w:rFonts w:cs="Arial"/>
                <w:sz w:val="20"/>
                <w:szCs w:val="20"/>
                <w:lang w:val="fr-CA"/>
              </w:rPr>
              <w:t>assurance</w:t>
            </w:r>
            <w:r w:rsidRPr="00E7027C">
              <w:rPr>
                <w:rFonts w:cs="Arial"/>
                <w:sz w:val="20"/>
                <w:szCs w:val="20"/>
                <w:lang w:val="fr-CA"/>
              </w:rPr>
              <w:t xml:space="preserve"> requise</w:t>
            </w:r>
            <w:r w:rsidR="003A750F" w:rsidRPr="00E7027C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054E3557" w14:textId="6D993D58" w:rsidR="003A750F" w:rsidRPr="00B13277" w:rsidRDefault="00E7027C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Attestation du mandataire</w:t>
            </w:r>
            <w:r w:rsidR="007C34B9" w:rsidRPr="00B13277">
              <w:rPr>
                <w:rFonts w:cs="Arial"/>
                <w:sz w:val="20"/>
                <w:szCs w:val="20"/>
                <w:lang w:val="fr-CA"/>
              </w:rPr>
              <w:t xml:space="preserve"> de la PN </w:t>
            </w:r>
            <w:r w:rsidR="00186A24">
              <w:rPr>
                <w:rFonts w:cs="Arial"/>
                <w:sz w:val="20"/>
                <w:szCs w:val="20"/>
                <w:lang w:val="fr-CA"/>
              </w:rPr>
              <w:t xml:space="preserve">confirmant </w:t>
            </w:r>
            <w:r w:rsidR="007C34B9" w:rsidRPr="00B13277">
              <w:rPr>
                <w:rFonts w:cs="Arial"/>
                <w:sz w:val="20"/>
                <w:szCs w:val="20"/>
                <w:lang w:val="fr-CA"/>
              </w:rPr>
              <w:t xml:space="preserve">que les éléments du plan de projet </w:t>
            </w:r>
            <w:r w:rsidR="00186A24" w:rsidRPr="00B50F60">
              <w:rPr>
                <w:rFonts w:cs="Arial"/>
                <w:sz w:val="20"/>
                <w:szCs w:val="20"/>
                <w:lang w:val="fr-CA"/>
              </w:rPr>
              <w:t>demeurent</w:t>
            </w:r>
            <w:r w:rsidR="00186A24">
              <w:rPr>
                <w:rFonts w:cs="Arial"/>
                <w:sz w:val="20"/>
                <w:szCs w:val="20"/>
                <w:lang w:val="fr-CA"/>
              </w:rPr>
              <w:t xml:space="preserve"> véridiques et exacts.</w:t>
            </w:r>
          </w:p>
          <w:p w14:paraId="5B703844" w14:textId="4CA7E88D" w:rsidR="003A750F" w:rsidRPr="00B13277" w:rsidRDefault="00186A24" w:rsidP="003A750F">
            <w:pPr>
              <w:numPr>
                <w:ilvl w:val="1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Attestation du mandataire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C34B9" w:rsidRPr="00B13277">
              <w:rPr>
                <w:rFonts w:cs="Arial"/>
                <w:sz w:val="20"/>
                <w:szCs w:val="20"/>
                <w:lang w:val="fr-CA"/>
              </w:rPr>
              <w:t>de la P</w:t>
            </w:r>
            <w:r w:rsidR="003A750F" w:rsidRPr="00B13277">
              <w:rPr>
                <w:rFonts w:cs="Arial"/>
                <w:sz w:val="20"/>
                <w:szCs w:val="20"/>
                <w:lang w:val="fr-CA"/>
              </w:rPr>
              <w:t xml:space="preserve">N 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confirmant que les renseignements </w:t>
            </w:r>
            <w:r>
              <w:rPr>
                <w:rFonts w:cs="Arial"/>
                <w:sz w:val="20"/>
                <w:szCs w:val="20"/>
                <w:lang w:val="fr-CA"/>
              </w:rPr>
              <w:lastRenderedPageBreak/>
              <w:t xml:space="preserve">contenu dans le Certificat </w:t>
            </w:r>
            <w:r w:rsidRPr="00186A24">
              <w:rPr>
                <w:rFonts w:cs="Arial"/>
                <w:sz w:val="20"/>
                <w:szCs w:val="20"/>
                <w:lang w:val="fr-CA"/>
              </w:rPr>
              <w:t xml:space="preserve">des éléments de passif fixe et du calcul de la capacité </w:t>
            </w:r>
            <w:r w:rsidRPr="00B50F60">
              <w:rPr>
                <w:rFonts w:cs="Arial"/>
                <w:sz w:val="20"/>
                <w:szCs w:val="20"/>
                <w:lang w:val="fr-CA"/>
              </w:rPr>
              <w:t>d’emprunt demeurent véridiques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et exacts.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7B2B6B01" w14:textId="6060D7A8" w:rsidR="00325C25" w:rsidRPr="00B13277" w:rsidRDefault="00955783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lastRenderedPageBreak/>
              <w:t>Chef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 xml:space="preserve"> et conseil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7C6F48BA" w14:textId="6A14589D" w:rsidR="00325C25" w:rsidRPr="00B13277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Chef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 xml:space="preserve"> et conseil</w:t>
            </w:r>
          </w:p>
          <w:p w14:paraId="1D8B29EB" w14:textId="5556F262" w:rsidR="00325C25" w:rsidRPr="00B13277" w:rsidRDefault="002F294E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76C35286" w14:textId="0A0DAF17" w:rsidR="006C756B" w:rsidRDefault="006C756B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4A02B41C" w14:textId="77777777" w:rsidR="00B50F60" w:rsidRPr="00B13277" w:rsidRDefault="00B50F60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20AE146D" w14:textId="492EF58F" w:rsidR="00325C25" w:rsidRPr="00B13277" w:rsidRDefault="002F294E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7E4D0A39" w14:textId="64C47D32" w:rsidR="006C756B" w:rsidRDefault="006C756B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6103DE00" w14:textId="77777777" w:rsidR="00B50F60" w:rsidRPr="00B13277" w:rsidRDefault="00B50F60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51525F81" w14:textId="7BAE3F1C" w:rsidR="00325C25" w:rsidRPr="00B13277" w:rsidRDefault="002F294E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B13277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6026C3C2" w14:textId="004DC32A" w:rsidR="00325C25" w:rsidRPr="00B13277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Mo</w:t>
            </w:r>
            <w:r w:rsidR="002F294E" w:rsidRPr="00B13277">
              <w:rPr>
                <w:rFonts w:cs="Arial"/>
                <w:sz w:val="20"/>
                <w:szCs w:val="20"/>
                <w:lang w:val="fr-CA"/>
              </w:rPr>
              <w:t>is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C26441" w:rsidRPr="00B13277">
              <w:rPr>
                <w:rFonts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5963" w:type="dxa"/>
          </w:tcPr>
          <w:p w14:paraId="7FCF9090" w14:textId="3C7F2BD9" w:rsidR="00310ED1" w:rsidRPr="00B13277" w:rsidRDefault="00310ED1" w:rsidP="00310ED1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1F0A780C" w14:textId="77777777" w:rsidR="00310ED1" w:rsidRPr="00B13277" w:rsidRDefault="00310ED1" w:rsidP="00310ED1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5B305C4C" w14:textId="5613BDE2" w:rsidR="00310ED1" w:rsidRPr="00B13277" w:rsidRDefault="007C34B9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La CFPN dispose d’un  modèle de lettre d’invitation à présenter des observations à la CFPN</w:t>
            </w:r>
            <w:r w:rsidR="00310ED1" w:rsidRPr="00B13277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07558EB3" w14:textId="7850305B" w:rsidR="00310ED1" w:rsidRPr="00B13277" w:rsidRDefault="00310ED1" w:rsidP="00310ED1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375C1044" w14:textId="14BC8FA2" w:rsidR="00310ED1" w:rsidRPr="00186A24" w:rsidRDefault="0081387E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186A24">
              <w:rPr>
                <w:rFonts w:cs="Arial"/>
                <w:noProof/>
                <w:sz w:val="20"/>
                <w:szCs w:val="20"/>
                <w:lang w:val="fr-CA"/>
              </w:rPr>
              <w:t>La CFPN dispose d’un  modèle de lettre</w:t>
            </w:r>
            <w:r w:rsidR="00E7027C" w:rsidRPr="00186A24">
              <w:rPr>
                <w:rFonts w:cs="Arial"/>
                <w:noProof/>
                <w:sz w:val="20"/>
                <w:szCs w:val="20"/>
                <w:lang w:val="fr-CA"/>
              </w:rPr>
              <w:t xml:space="preserve"> de transmission</w:t>
            </w:r>
            <w:r w:rsidR="00310ED1" w:rsidRPr="00186A24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5D9F445E" w14:textId="2534CCD7" w:rsidR="00325C25" w:rsidRPr="00B13277" w:rsidRDefault="00325C25" w:rsidP="004D50DA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F294E" w:rsidRPr="00B13277" w14:paraId="36BA4BEC" w14:textId="420EAC01" w:rsidTr="00A3442D">
        <w:trPr>
          <w:trHeight w:val="1970"/>
        </w:trPr>
        <w:tc>
          <w:tcPr>
            <w:tcW w:w="2494" w:type="dxa"/>
            <w:shd w:val="clear" w:color="auto" w:fill="auto"/>
          </w:tcPr>
          <w:p w14:paraId="4EFDA6DA" w14:textId="38F44EC7" w:rsidR="00325C25" w:rsidRPr="00B13277" w:rsidRDefault="007C34B9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Examen par la CFPN et décision sur l’agrément</w:t>
            </w:r>
          </w:p>
        </w:tc>
        <w:tc>
          <w:tcPr>
            <w:tcW w:w="4828" w:type="dxa"/>
            <w:gridSpan w:val="2"/>
            <w:shd w:val="clear" w:color="auto" w:fill="auto"/>
          </w:tcPr>
          <w:p w14:paraId="61A9353B" w14:textId="541DF59B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Examen de la loi et des observations supplémentaires reçues, s’il y a lieu.</w:t>
            </w:r>
          </w:p>
          <w:p w14:paraId="336C1557" w14:textId="27D0B057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Agrément accordé </w:t>
            </w:r>
            <w:r w:rsidR="00186A24">
              <w:rPr>
                <w:rFonts w:cs="Arial"/>
                <w:noProof/>
                <w:sz w:val="20"/>
                <w:szCs w:val="20"/>
                <w:lang w:val="fr-CA"/>
              </w:rPr>
              <w:t>s’il y a</w:t>
            </w: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 xml:space="preserve"> conformité au cadre législatif.</w:t>
            </w:r>
          </w:p>
          <w:p w14:paraId="0EF4D557" w14:textId="547B7C93" w:rsidR="007C34B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La loi entre en vigueur le jour suivant son agrément par la CFPN ou à la date postérieure fixée par la Première Nation</w:t>
            </w:r>
          </w:p>
          <w:p w14:paraId="704BA518" w14:textId="6DD6593D" w:rsidR="007973C9" w:rsidRPr="00B13277" w:rsidRDefault="007C34B9" w:rsidP="007C34B9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La CFPN doit </w:t>
            </w:r>
            <w:r w:rsidR="00186A24">
              <w:rPr>
                <w:rFonts w:cs="Arial"/>
                <w:sz w:val="20"/>
                <w:szCs w:val="20"/>
                <w:lang w:val="fr-CA"/>
              </w:rPr>
              <w:t>fournir</w:t>
            </w:r>
            <w:r w:rsidRPr="00B13277">
              <w:rPr>
                <w:rFonts w:cs="Arial"/>
                <w:sz w:val="20"/>
                <w:szCs w:val="20"/>
                <w:lang w:val="fr-CA"/>
              </w:rPr>
              <w:t xml:space="preserve"> à l’AFPN</w:t>
            </w:r>
            <w:r w:rsidR="007973C9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86A24">
              <w:rPr>
                <w:rFonts w:cs="Arial"/>
                <w:sz w:val="20"/>
                <w:szCs w:val="20"/>
                <w:lang w:val="fr-CA"/>
              </w:rPr>
              <w:t xml:space="preserve">une copie certifiée de la loi et le certificat mentionné à l’alinéa 32(2)b) de la LGFPN. 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2109880D" w14:textId="578D18BC" w:rsidR="00325C25" w:rsidRPr="00B13277" w:rsidRDefault="002F294E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sz w:val="20"/>
                <w:szCs w:val="20"/>
                <w:lang w:val="fr-CA"/>
              </w:rPr>
              <w:t>CFPN</w:t>
            </w:r>
            <w:r w:rsidR="00325C25" w:rsidRPr="00B13277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48" w:type="dxa"/>
            <w:gridSpan w:val="3"/>
            <w:shd w:val="clear" w:color="auto" w:fill="auto"/>
          </w:tcPr>
          <w:p w14:paraId="0F5E7BA6" w14:textId="18882B73" w:rsidR="006C756B" w:rsidRPr="00B13277" w:rsidRDefault="00A3442D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B13277">
              <w:rPr>
                <w:rFonts w:cs="Arial"/>
                <w:noProof/>
                <w:sz w:val="20"/>
                <w:szCs w:val="20"/>
                <w:lang w:val="fr-CA"/>
              </w:rPr>
              <w:t>Si la PN reçoit des observations, la CFPN doit accorder un délai de 15 jours pour la présentation d’observations supplémentaires.</w:t>
            </w:r>
          </w:p>
        </w:tc>
        <w:tc>
          <w:tcPr>
            <w:tcW w:w="5963" w:type="dxa"/>
          </w:tcPr>
          <w:p w14:paraId="47E984BE" w14:textId="77777777" w:rsidR="00325C25" w:rsidRPr="00B13277" w:rsidRDefault="00325C25" w:rsidP="003E5533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14:paraId="0BC1FDE6" w14:textId="5E3C30C7" w:rsidR="00097731" w:rsidRPr="00B13277" w:rsidRDefault="00097731" w:rsidP="00097731">
      <w:pPr>
        <w:pStyle w:val="ListParagraph"/>
        <w:rPr>
          <w:rFonts w:cs="Arial"/>
          <w:b/>
          <w:bCs/>
          <w:sz w:val="28"/>
          <w:szCs w:val="28"/>
          <w:lang w:val="fr-CA"/>
        </w:rPr>
      </w:pPr>
      <w:bookmarkStart w:id="2" w:name="_Hlk82676024"/>
    </w:p>
    <w:p w14:paraId="46283CCD" w14:textId="03E05281" w:rsidR="0077265D" w:rsidRPr="00B13277" w:rsidRDefault="0077265D" w:rsidP="00ED5977">
      <w:pPr>
        <w:rPr>
          <w:rFonts w:cs="Arial"/>
          <w:b/>
          <w:bCs/>
          <w:sz w:val="28"/>
          <w:szCs w:val="28"/>
          <w:lang w:val="fr-CA"/>
        </w:rPr>
      </w:pPr>
    </w:p>
    <w:bookmarkEnd w:id="2"/>
    <w:p w14:paraId="4FC9CBBF" w14:textId="60EBBD74" w:rsidR="00ED5977" w:rsidRPr="00B13277" w:rsidRDefault="00ED5977" w:rsidP="00ED5977">
      <w:pPr>
        <w:rPr>
          <w:rFonts w:cs="Arial"/>
          <w:b/>
          <w:bCs/>
          <w:sz w:val="28"/>
          <w:szCs w:val="28"/>
          <w:lang w:val="fr-CA"/>
        </w:rPr>
      </w:pPr>
    </w:p>
    <w:sectPr w:rsidR="00ED5977" w:rsidRPr="00B13277" w:rsidSect="00F43EE0">
      <w:headerReference w:type="default" r:id="rId15"/>
      <w:footerReference w:type="even" r:id="rId16"/>
      <w:footerReference w:type="default" r:id="rId17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A050" w14:textId="77777777" w:rsidR="0031227F" w:rsidRDefault="0031227F">
      <w:r>
        <w:separator/>
      </w:r>
    </w:p>
  </w:endnote>
  <w:endnote w:type="continuationSeparator" w:id="0">
    <w:p w14:paraId="21627070" w14:textId="77777777" w:rsidR="0031227F" w:rsidRDefault="003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75BA" w14:textId="77777777" w:rsidR="0031227F" w:rsidRDefault="0031227F">
      <w:r>
        <w:separator/>
      </w:r>
    </w:p>
  </w:footnote>
  <w:footnote w:type="continuationSeparator" w:id="0">
    <w:p w14:paraId="69EBF8E7" w14:textId="77777777" w:rsidR="0031227F" w:rsidRDefault="0031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9562883"/>
  <w:bookmarkStart w:id="4" w:name="_Hlk29562884"/>
  <w:p w14:paraId="6DE82734" w14:textId="6463E2EE" w:rsidR="00663E70" w:rsidRPr="00BE773B" w:rsidRDefault="006B39F4" w:rsidP="00F25DA6">
    <w:pPr>
      <w:pStyle w:val="Header"/>
      <w:jc w:val="right"/>
    </w:pPr>
    <w:sdt>
      <w:sdtPr>
        <w:rPr>
          <w:sz w:val="22"/>
          <w:szCs w:val="22"/>
        </w:rPr>
        <w:id w:val="1814673008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075D7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060220" o:spid="_x0000_s1026" type="#_x0000_t136" style="position:absolute;left:0;text-align:left;margin-left:0;margin-top:0;width:492.95pt;height:211.25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bookmarkEnd w:id="3"/>
    <w:bookmarkEnd w:id="4"/>
    <w:r w:rsidR="005A7D77" w:rsidRPr="005A7D77">
      <w:rPr>
        <w:rFonts w:cs="Arial"/>
        <w:sz w:val="22"/>
        <w:szCs w:val="22"/>
        <w:lang w:val="fr-CA"/>
      </w:rPr>
      <w:t xml:space="preserve"> </w:t>
    </w:r>
    <w:r w:rsidR="005A7D77" w:rsidRPr="006A5D8C">
      <w:rPr>
        <w:rFonts w:cs="Arial"/>
        <w:sz w:val="22"/>
        <w:szCs w:val="22"/>
        <w:lang w:val="fr-CA"/>
      </w:rPr>
      <w:t xml:space="preserve">Modèle de plan de travail − </w:t>
    </w:r>
    <w:r w:rsidR="005A7D77" w:rsidRPr="001719D9">
      <w:rPr>
        <w:rFonts w:cs="Arial"/>
        <w:sz w:val="22"/>
        <w:szCs w:val="22"/>
        <w:lang w:val="fr-CA"/>
      </w:rPr>
      <w:t xml:space="preserve">Loi sur </w:t>
    </w:r>
    <w:r w:rsidR="005A7D77" w:rsidRPr="001719D9">
      <w:rPr>
        <w:sz w:val="22"/>
        <w:szCs w:val="22"/>
        <w:lang w:val="fr-CA"/>
      </w:rPr>
      <w:t>l’emprunt de capital à long terme</w:t>
    </w:r>
    <w:r w:rsidR="005A7D77" w:rsidRPr="006870B5">
      <w:rPr>
        <w:lang w:val="fr-CA"/>
      </w:rPr>
      <w:t xml:space="preserve"> </w:t>
    </w:r>
    <w:r w:rsidR="005A7D77">
      <w:rPr>
        <w:sz w:val="22"/>
        <w:szCs w:val="22"/>
      </w:rPr>
      <w:t>(2022 10 07)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6F7C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116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A40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577707">
    <w:abstractNumId w:val="15"/>
  </w:num>
  <w:num w:numId="2" w16cid:durableId="1695768068">
    <w:abstractNumId w:val="29"/>
  </w:num>
  <w:num w:numId="3" w16cid:durableId="720204625">
    <w:abstractNumId w:val="48"/>
  </w:num>
  <w:num w:numId="4" w16cid:durableId="424499975">
    <w:abstractNumId w:val="39"/>
  </w:num>
  <w:num w:numId="5" w16cid:durableId="1478910365">
    <w:abstractNumId w:val="35"/>
  </w:num>
  <w:num w:numId="6" w16cid:durableId="163936600">
    <w:abstractNumId w:val="4"/>
  </w:num>
  <w:num w:numId="7" w16cid:durableId="1365401508">
    <w:abstractNumId w:val="0"/>
  </w:num>
  <w:num w:numId="8" w16cid:durableId="359858985">
    <w:abstractNumId w:val="36"/>
  </w:num>
  <w:num w:numId="9" w16cid:durableId="1577285227">
    <w:abstractNumId w:val="18"/>
  </w:num>
  <w:num w:numId="10" w16cid:durableId="496507320">
    <w:abstractNumId w:val="34"/>
  </w:num>
  <w:num w:numId="11" w16cid:durableId="1004940198">
    <w:abstractNumId w:val="24"/>
  </w:num>
  <w:num w:numId="12" w16cid:durableId="2016565323">
    <w:abstractNumId w:val="38"/>
  </w:num>
  <w:num w:numId="13" w16cid:durableId="2102068966">
    <w:abstractNumId w:val="31"/>
  </w:num>
  <w:num w:numId="14" w16cid:durableId="789979417">
    <w:abstractNumId w:val="10"/>
  </w:num>
  <w:num w:numId="15" w16cid:durableId="1731734746">
    <w:abstractNumId w:val="32"/>
  </w:num>
  <w:num w:numId="16" w16cid:durableId="655765748">
    <w:abstractNumId w:val="44"/>
  </w:num>
  <w:num w:numId="17" w16cid:durableId="811630310">
    <w:abstractNumId w:val="6"/>
  </w:num>
  <w:num w:numId="18" w16cid:durableId="1429159071">
    <w:abstractNumId w:val="13"/>
  </w:num>
  <w:num w:numId="19" w16cid:durableId="118232506">
    <w:abstractNumId w:val="7"/>
  </w:num>
  <w:num w:numId="20" w16cid:durableId="194346372">
    <w:abstractNumId w:val="8"/>
  </w:num>
  <w:num w:numId="21" w16cid:durableId="1892770006">
    <w:abstractNumId w:val="26"/>
  </w:num>
  <w:num w:numId="22" w16cid:durableId="1007487279">
    <w:abstractNumId w:val="9"/>
  </w:num>
  <w:num w:numId="23" w16cid:durableId="1407529288">
    <w:abstractNumId w:val="14"/>
  </w:num>
  <w:num w:numId="24" w16cid:durableId="546331786">
    <w:abstractNumId w:val="1"/>
  </w:num>
  <w:num w:numId="25" w16cid:durableId="1578172802">
    <w:abstractNumId w:val="41"/>
  </w:num>
  <w:num w:numId="26" w16cid:durableId="204341904">
    <w:abstractNumId w:val="21"/>
  </w:num>
  <w:num w:numId="27" w16cid:durableId="35980620">
    <w:abstractNumId w:val="45"/>
  </w:num>
  <w:num w:numId="28" w16cid:durableId="1158425136">
    <w:abstractNumId w:val="19"/>
  </w:num>
  <w:num w:numId="29" w16cid:durableId="1066219136">
    <w:abstractNumId w:val="28"/>
  </w:num>
  <w:num w:numId="30" w16cid:durableId="1080710019">
    <w:abstractNumId w:val="40"/>
  </w:num>
  <w:num w:numId="31" w16cid:durableId="1596019411">
    <w:abstractNumId w:val="33"/>
  </w:num>
  <w:num w:numId="32" w16cid:durableId="1847212081">
    <w:abstractNumId w:val="11"/>
  </w:num>
  <w:num w:numId="33" w16cid:durableId="1757282443">
    <w:abstractNumId w:val="27"/>
  </w:num>
  <w:num w:numId="34" w16cid:durableId="1858537997">
    <w:abstractNumId w:val="30"/>
  </w:num>
  <w:num w:numId="35" w16cid:durableId="225803980">
    <w:abstractNumId w:val="25"/>
  </w:num>
  <w:num w:numId="36" w16cid:durableId="949123709">
    <w:abstractNumId w:val="43"/>
  </w:num>
  <w:num w:numId="37" w16cid:durableId="369456533">
    <w:abstractNumId w:val="47"/>
  </w:num>
  <w:num w:numId="38" w16cid:durableId="923689192">
    <w:abstractNumId w:val="16"/>
  </w:num>
  <w:num w:numId="39" w16cid:durableId="597715852">
    <w:abstractNumId w:val="5"/>
  </w:num>
  <w:num w:numId="40" w16cid:durableId="1544175549">
    <w:abstractNumId w:val="2"/>
  </w:num>
  <w:num w:numId="41" w16cid:durableId="1053233752">
    <w:abstractNumId w:val="22"/>
  </w:num>
  <w:num w:numId="42" w16cid:durableId="904533881">
    <w:abstractNumId w:val="12"/>
  </w:num>
  <w:num w:numId="43" w16cid:durableId="1073743489">
    <w:abstractNumId w:val="42"/>
  </w:num>
  <w:num w:numId="44" w16cid:durableId="1423725393">
    <w:abstractNumId w:val="17"/>
  </w:num>
  <w:num w:numId="45" w16cid:durableId="1048794908">
    <w:abstractNumId w:val="3"/>
  </w:num>
  <w:num w:numId="46" w16cid:durableId="1911772189">
    <w:abstractNumId w:val="20"/>
  </w:num>
  <w:num w:numId="47" w16cid:durableId="672220148">
    <w:abstractNumId w:val="37"/>
  </w:num>
  <w:num w:numId="48" w16cid:durableId="991912831">
    <w:abstractNumId w:val="46"/>
  </w:num>
  <w:num w:numId="49" w16cid:durableId="519973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16233"/>
    <w:rsid w:val="00026C44"/>
    <w:rsid w:val="000311BD"/>
    <w:rsid w:val="000313DF"/>
    <w:rsid w:val="00034163"/>
    <w:rsid w:val="00036E5C"/>
    <w:rsid w:val="000414C6"/>
    <w:rsid w:val="00043BCC"/>
    <w:rsid w:val="00051F1F"/>
    <w:rsid w:val="00052B3E"/>
    <w:rsid w:val="0005644D"/>
    <w:rsid w:val="00061EC9"/>
    <w:rsid w:val="0006732E"/>
    <w:rsid w:val="00070064"/>
    <w:rsid w:val="00073FAF"/>
    <w:rsid w:val="00087D92"/>
    <w:rsid w:val="00097731"/>
    <w:rsid w:val="000A36D4"/>
    <w:rsid w:val="000A4F42"/>
    <w:rsid w:val="000A5FC7"/>
    <w:rsid w:val="000B1C62"/>
    <w:rsid w:val="000B4F48"/>
    <w:rsid w:val="000B64CF"/>
    <w:rsid w:val="000D5321"/>
    <w:rsid w:val="000D6EEC"/>
    <w:rsid w:val="000D7213"/>
    <w:rsid w:val="000E12E7"/>
    <w:rsid w:val="000E2C8C"/>
    <w:rsid w:val="000F514F"/>
    <w:rsid w:val="00111CEA"/>
    <w:rsid w:val="00117672"/>
    <w:rsid w:val="00121FFD"/>
    <w:rsid w:val="00126437"/>
    <w:rsid w:val="00130F8E"/>
    <w:rsid w:val="00132934"/>
    <w:rsid w:val="00134335"/>
    <w:rsid w:val="00137959"/>
    <w:rsid w:val="00140608"/>
    <w:rsid w:val="001407B9"/>
    <w:rsid w:val="00142063"/>
    <w:rsid w:val="00144071"/>
    <w:rsid w:val="0014519E"/>
    <w:rsid w:val="001503EB"/>
    <w:rsid w:val="00150640"/>
    <w:rsid w:val="001517D8"/>
    <w:rsid w:val="00155515"/>
    <w:rsid w:val="0016536B"/>
    <w:rsid w:val="00173ACE"/>
    <w:rsid w:val="00185BE9"/>
    <w:rsid w:val="001865D5"/>
    <w:rsid w:val="00186A24"/>
    <w:rsid w:val="00194EFF"/>
    <w:rsid w:val="001963AA"/>
    <w:rsid w:val="001A382B"/>
    <w:rsid w:val="001A5599"/>
    <w:rsid w:val="001B07F4"/>
    <w:rsid w:val="001B7D8B"/>
    <w:rsid w:val="001C71BE"/>
    <w:rsid w:val="001D7C18"/>
    <w:rsid w:val="001E44E4"/>
    <w:rsid w:val="0020016D"/>
    <w:rsid w:val="0020527F"/>
    <w:rsid w:val="0021547F"/>
    <w:rsid w:val="002204FE"/>
    <w:rsid w:val="00222F32"/>
    <w:rsid w:val="0022645D"/>
    <w:rsid w:val="00231F60"/>
    <w:rsid w:val="00234A75"/>
    <w:rsid w:val="0024098E"/>
    <w:rsid w:val="00241CE1"/>
    <w:rsid w:val="00251B29"/>
    <w:rsid w:val="00252811"/>
    <w:rsid w:val="00261E24"/>
    <w:rsid w:val="002719EE"/>
    <w:rsid w:val="0027494D"/>
    <w:rsid w:val="00275222"/>
    <w:rsid w:val="00280FDE"/>
    <w:rsid w:val="002956D8"/>
    <w:rsid w:val="0029582E"/>
    <w:rsid w:val="002A3DDD"/>
    <w:rsid w:val="002A4627"/>
    <w:rsid w:val="002A6007"/>
    <w:rsid w:val="002B650C"/>
    <w:rsid w:val="002C0D30"/>
    <w:rsid w:val="002C405C"/>
    <w:rsid w:val="002C6092"/>
    <w:rsid w:val="002C7A4D"/>
    <w:rsid w:val="002D3CC4"/>
    <w:rsid w:val="002D75C5"/>
    <w:rsid w:val="002E253A"/>
    <w:rsid w:val="002E78AE"/>
    <w:rsid w:val="002F0738"/>
    <w:rsid w:val="002F294E"/>
    <w:rsid w:val="002F446A"/>
    <w:rsid w:val="002F7351"/>
    <w:rsid w:val="00304455"/>
    <w:rsid w:val="00310ED1"/>
    <w:rsid w:val="00311975"/>
    <w:rsid w:val="0031227F"/>
    <w:rsid w:val="00312A23"/>
    <w:rsid w:val="0031423D"/>
    <w:rsid w:val="00321E91"/>
    <w:rsid w:val="00325C25"/>
    <w:rsid w:val="00337053"/>
    <w:rsid w:val="003419B9"/>
    <w:rsid w:val="00347ECD"/>
    <w:rsid w:val="00350A09"/>
    <w:rsid w:val="0035404E"/>
    <w:rsid w:val="00361427"/>
    <w:rsid w:val="00372CA1"/>
    <w:rsid w:val="00374B61"/>
    <w:rsid w:val="0037642A"/>
    <w:rsid w:val="0038378A"/>
    <w:rsid w:val="00386A19"/>
    <w:rsid w:val="003963A3"/>
    <w:rsid w:val="003A42CD"/>
    <w:rsid w:val="003A750F"/>
    <w:rsid w:val="003B30F1"/>
    <w:rsid w:val="003B33BD"/>
    <w:rsid w:val="003B3ABA"/>
    <w:rsid w:val="003B6A41"/>
    <w:rsid w:val="003C44EE"/>
    <w:rsid w:val="003E1FCB"/>
    <w:rsid w:val="003E3BFC"/>
    <w:rsid w:val="003E5533"/>
    <w:rsid w:val="003F6F1C"/>
    <w:rsid w:val="003F7EB8"/>
    <w:rsid w:val="00400C31"/>
    <w:rsid w:val="004012FB"/>
    <w:rsid w:val="00401A0A"/>
    <w:rsid w:val="00401E94"/>
    <w:rsid w:val="0040403A"/>
    <w:rsid w:val="00414E9F"/>
    <w:rsid w:val="00423D0D"/>
    <w:rsid w:val="0043527D"/>
    <w:rsid w:val="00437341"/>
    <w:rsid w:val="00440A31"/>
    <w:rsid w:val="00451035"/>
    <w:rsid w:val="00457FF6"/>
    <w:rsid w:val="00466186"/>
    <w:rsid w:val="004766A2"/>
    <w:rsid w:val="0048797E"/>
    <w:rsid w:val="004A11DD"/>
    <w:rsid w:val="004A24B5"/>
    <w:rsid w:val="004A37C8"/>
    <w:rsid w:val="004A4754"/>
    <w:rsid w:val="004B4517"/>
    <w:rsid w:val="004B4DAB"/>
    <w:rsid w:val="004B6ABB"/>
    <w:rsid w:val="004C3128"/>
    <w:rsid w:val="004D0638"/>
    <w:rsid w:val="004D1C23"/>
    <w:rsid w:val="004D3560"/>
    <w:rsid w:val="004D50DA"/>
    <w:rsid w:val="004D7A78"/>
    <w:rsid w:val="004D7F6F"/>
    <w:rsid w:val="004E1453"/>
    <w:rsid w:val="004F48DF"/>
    <w:rsid w:val="005043AE"/>
    <w:rsid w:val="005062F4"/>
    <w:rsid w:val="00507F8A"/>
    <w:rsid w:val="0051390A"/>
    <w:rsid w:val="0052773A"/>
    <w:rsid w:val="0053317E"/>
    <w:rsid w:val="005413F4"/>
    <w:rsid w:val="00542F13"/>
    <w:rsid w:val="0055035F"/>
    <w:rsid w:val="00551D0B"/>
    <w:rsid w:val="0055248C"/>
    <w:rsid w:val="005572B9"/>
    <w:rsid w:val="00560033"/>
    <w:rsid w:val="00561373"/>
    <w:rsid w:val="00570885"/>
    <w:rsid w:val="00570D12"/>
    <w:rsid w:val="00582511"/>
    <w:rsid w:val="005940E3"/>
    <w:rsid w:val="00596993"/>
    <w:rsid w:val="005A02D8"/>
    <w:rsid w:val="005A7D77"/>
    <w:rsid w:val="005B19B7"/>
    <w:rsid w:val="005B288D"/>
    <w:rsid w:val="005C2C81"/>
    <w:rsid w:val="005C45A0"/>
    <w:rsid w:val="005C6033"/>
    <w:rsid w:val="005D3627"/>
    <w:rsid w:val="005D3D4C"/>
    <w:rsid w:val="005E4130"/>
    <w:rsid w:val="005E462E"/>
    <w:rsid w:val="005F1940"/>
    <w:rsid w:val="00606695"/>
    <w:rsid w:val="00612FA6"/>
    <w:rsid w:val="006174AE"/>
    <w:rsid w:val="006212EE"/>
    <w:rsid w:val="006220F9"/>
    <w:rsid w:val="006223FF"/>
    <w:rsid w:val="0062517A"/>
    <w:rsid w:val="00647357"/>
    <w:rsid w:val="006639D9"/>
    <w:rsid w:val="00663E70"/>
    <w:rsid w:val="00665BF9"/>
    <w:rsid w:val="006664AF"/>
    <w:rsid w:val="00671667"/>
    <w:rsid w:val="006722CC"/>
    <w:rsid w:val="00674604"/>
    <w:rsid w:val="00682AC7"/>
    <w:rsid w:val="0068526F"/>
    <w:rsid w:val="0069134E"/>
    <w:rsid w:val="006A563C"/>
    <w:rsid w:val="006A66D1"/>
    <w:rsid w:val="006B2BC9"/>
    <w:rsid w:val="006B39F4"/>
    <w:rsid w:val="006B4EAC"/>
    <w:rsid w:val="006C056A"/>
    <w:rsid w:val="006C74ED"/>
    <w:rsid w:val="006C756B"/>
    <w:rsid w:val="006D595B"/>
    <w:rsid w:val="006E416A"/>
    <w:rsid w:val="006E7465"/>
    <w:rsid w:val="006E747C"/>
    <w:rsid w:val="006F0022"/>
    <w:rsid w:val="006F458E"/>
    <w:rsid w:val="00703270"/>
    <w:rsid w:val="0070469D"/>
    <w:rsid w:val="007050F8"/>
    <w:rsid w:val="00714A32"/>
    <w:rsid w:val="00716B66"/>
    <w:rsid w:val="00722608"/>
    <w:rsid w:val="00723C48"/>
    <w:rsid w:val="00724A69"/>
    <w:rsid w:val="00726A4E"/>
    <w:rsid w:val="0074185F"/>
    <w:rsid w:val="0074635E"/>
    <w:rsid w:val="007472A2"/>
    <w:rsid w:val="00752575"/>
    <w:rsid w:val="00756426"/>
    <w:rsid w:val="0076338F"/>
    <w:rsid w:val="0077265D"/>
    <w:rsid w:val="0077535B"/>
    <w:rsid w:val="00781BB1"/>
    <w:rsid w:val="007826B3"/>
    <w:rsid w:val="007945EE"/>
    <w:rsid w:val="007973C9"/>
    <w:rsid w:val="007A0C20"/>
    <w:rsid w:val="007C34B9"/>
    <w:rsid w:val="007C3EDB"/>
    <w:rsid w:val="007C7CB1"/>
    <w:rsid w:val="007F1F14"/>
    <w:rsid w:val="007F3156"/>
    <w:rsid w:val="007F7F88"/>
    <w:rsid w:val="0080515E"/>
    <w:rsid w:val="0081387E"/>
    <w:rsid w:val="0082298F"/>
    <w:rsid w:val="00822EE2"/>
    <w:rsid w:val="008239A7"/>
    <w:rsid w:val="00834AC8"/>
    <w:rsid w:val="008353A5"/>
    <w:rsid w:val="0084243C"/>
    <w:rsid w:val="00844284"/>
    <w:rsid w:val="008456B7"/>
    <w:rsid w:val="00854644"/>
    <w:rsid w:val="00865F63"/>
    <w:rsid w:val="0088033D"/>
    <w:rsid w:val="008828A0"/>
    <w:rsid w:val="0089627C"/>
    <w:rsid w:val="008A141D"/>
    <w:rsid w:val="008A4D16"/>
    <w:rsid w:val="008B189C"/>
    <w:rsid w:val="008B689F"/>
    <w:rsid w:val="008C2820"/>
    <w:rsid w:val="008C7947"/>
    <w:rsid w:val="008D57A0"/>
    <w:rsid w:val="008F43CF"/>
    <w:rsid w:val="008F4DEB"/>
    <w:rsid w:val="008F7F1F"/>
    <w:rsid w:val="00902A56"/>
    <w:rsid w:val="00905164"/>
    <w:rsid w:val="00905542"/>
    <w:rsid w:val="00907B73"/>
    <w:rsid w:val="00915D01"/>
    <w:rsid w:val="009278D8"/>
    <w:rsid w:val="009307A1"/>
    <w:rsid w:val="0093162E"/>
    <w:rsid w:val="00934DA1"/>
    <w:rsid w:val="00955783"/>
    <w:rsid w:val="00957383"/>
    <w:rsid w:val="00957EB1"/>
    <w:rsid w:val="009621BD"/>
    <w:rsid w:val="00963AF1"/>
    <w:rsid w:val="00980AB6"/>
    <w:rsid w:val="00990705"/>
    <w:rsid w:val="009A69DE"/>
    <w:rsid w:val="009A7ABD"/>
    <w:rsid w:val="009B380A"/>
    <w:rsid w:val="009B623B"/>
    <w:rsid w:val="009C6502"/>
    <w:rsid w:val="009C65EA"/>
    <w:rsid w:val="009D349C"/>
    <w:rsid w:val="009D7ED5"/>
    <w:rsid w:val="009E44F0"/>
    <w:rsid w:val="009E50F1"/>
    <w:rsid w:val="009E566F"/>
    <w:rsid w:val="009F6570"/>
    <w:rsid w:val="00A02D5A"/>
    <w:rsid w:val="00A14CAB"/>
    <w:rsid w:val="00A25DDF"/>
    <w:rsid w:val="00A3059E"/>
    <w:rsid w:val="00A342B1"/>
    <w:rsid w:val="00A3442D"/>
    <w:rsid w:val="00A34844"/>
    <w:rsid w:val="00A3609F"/>
    <w:rsid w:val="00A405F7"/>
    <w:rsid w:val="00A41B28"/>
    <w:rsid w:val="00A51F49"/>
    <w:rsid w:val="00A57C76"/>
    <w:rsid w:val="00A653B1"/>
    <w:rsid w:val="00A70D93"/>
    <w:rsid w:val="00A71C36"/>
    <w:rsid w:val="00A82E41"/>
    <w:rsid w:val="00A839DD"/>
    <w:rsid w:val="00A83F4B"/>
    <w:rsid w:val="00A854CD"/>
    <w:rsid w:val="00A86462"/>
    <w:rsid w:val="00A90EE8"/>
    <w:rsid w:val="00AA6072"/>
    <w:rsid w:val="00AA75D5"/>
    <w:rsid w:val="00AB76A1"/>
    <w:rsid w:val="00AC0613"/>
    <w:rsid w:val="00AD199D"/>
    <w:rsid w:val="00AF2DFE"/>
    <w:rsid w:val="00B00C1C"/>
    <w:rsid w:val="00B02743"/>
    <w:rsid w:val="00B11598"/>
    <w:rsid w:val="00B13277"/>
    <w:rsid w:val="00B26B3E"/>
    <w:rsid w:val="00B3056F"/>
    <w:rsid w:val="00B307B9"/>
    <w:rsid w:val="00B30C97"/>
    <w:rsid w:val="00B32A16"/>
    <w:rsid w:val="00B33814"/>
    <w:rsid w:val="00B35246"/>
    <w:rsid w:val="00B37EC6"/>
    <w:rsid w:val="00B43493"/>
    <w:rsid w:val="00B43C5F"/>
    <w:rsid w:val="00B50F60"/>
    <w:rsid w:val="00B64219"/>
    <w:rsid w:val="00B6472C"/>
    <w:rsid w:val="00B655D8"/>
    <w:rsid w:val="00B725B2"/>
    <w:rsid w:val="00B74DDD"/>
    <w:rsid w:val="00B775B7"/>
    <w:rsid w:val="00B77956"/>
    <w:rsid w:val="00B819FD"/>
    <w:rsid w:val="00B873B7"/>
    <w:rsid w:val="00B87A1F"/>
    <w:rsid w:val="00B9133E"/>
    <w:rsid w:val="00B918F3"/>
    <w:rsid w:val="00B94E09"/>
    <w:rsid w:val="00BA00D2"/>
    <w:rsid w:val="00BA019E"/>
    <w:rsid w:val="00BA16D7"/>
    <w:rsid w:val="00BA1779"/>
    <w:rsid w:val="00BA31C9"/>
    <w:rsid w:val="00BA339C"/>
    <w:rsid w:val="00BB1C39"/>
    <w:rsid w:val="00BB2293"/>
    <w:rsid w:val="00BB41EF"/>
    <w:rsid w:val="00BB5A6B"/>
    <w:rsid w:val="00BB63C5"/>
    <w:rsid w:val="00BC232C"/>
    <w:rsid w:val="00BC6CC2"/>
    <w:rsid w:val="00BD12A8"/>
    <w:rsid w:val="00BE3269"/>
    <w:rsid w:val="00BE4AAB"/>
    <w:rsid w:val="00BE773B"/>
    <w:rsid w:val="00BF0F8D"/>
    <w:rsid w:val="00C219E8"/>
    <w:rsid w:val="00C25AF9"/>
    <w:rsid w:val="00C26441"/>
    <w:rsid w:val="00C301B6"/>
    <w:rsid w:val="00C4166F"/>
    <w:rsid w:val="00C42BB9"/>
    <w:rsid w:val="00C463A2"/>
    <w:rsid w:val="00C54CE8"/>
    <w:rsid w:val="00C732CC"/>
    <w:rsid w:val="00C771A5"/>
    <w:rsid w:val="00C80007"/>
    <w:rsid w:val="00C84911"/>
    <w:rsid w:val="00C8792D"/>
    <w:rsid w:val="00C916B4"/>
    <w:rsid w:val="00CA4E25"/>
    <w:rsid w:val="00CB403E"/>
    <w:rsid w:val="00CC7C38"/>
    <w:rsid w:val="00CD02C3"/>
    <w:rsid w:val="00CD1158"/>
    <w:rsid w:val="00CD5311"/>
    <w:rsid w:val="00CE284E"/>
    <w:rsid w:val="00CE59DE"/>
    <w:rsid w:val="00CE6C85"/>
    <w:rsid w:val="00CF4510"/>
    <w:rsid w:val="00CF4EA8"/>
    <w:rsid w:val="00D00748"/>
    <w:rsid w:val="00D00D71"/>
    <w:rsid w:val="00D021BB"/>
    <w:rsid w:val="00D1128B"/>
    <w:rsid w:val="00D225FD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5074"/>
    <w:rsid w:val="00D568AC"/>
    <w:rsid w:val="00D61E75"/>
    <w:rsid w:val="00D62D60"/>
    <w:rsid w:val="00D70BBD"/>
    <w:rsid w:val="00D7176E"/>
    <w:rsid w:val="00D745BB"/>
    <w:rsid w:val="00D7517A"/>
    <w:rsid w:val="00D76E58"/>
    <w:rsid w:val="00D827FC"/>
    <w:rsid w:val="00D90641"/>
    <w:rsid w:val="00DA34AF"/>
    <w:rsid w:val="00DA4F4A"/>
    <w:rsid w:val="00DB423D"/>
    <w:rsid w:val="00DB44A4"/>
    <w:rsid w:val="00DB691B"/>
    <w:rsid w:val="00DC0A8A"/>
    <w:rsid w:val="00DC1810"/>
    <w:rsid w:val="00DC7ABC"/>
    <w:rsid w:val="00DC7D53"/>
    <w:rsid w:val="00DC7DC2"/>
    <w:rsid w:val="00DE0517"/>
    <w:rsid w:val="00DE47B6"/>
    <w:rsid w:val="00DF5DF3"/>
    <w:rsid w:val="00DF6782"/>
    <w:rsid w:val="00E02865"/>
    <w:rsid w:val="00E034BE"/>
    <w:rsid w:val="00E165E0"/>
    <w:rsid w:val="00E43CD8"/>
    <w:rsid w:val="00E47C88"/>
    <w:rsid w:val="00E52B3A"/>
    <w:rsid w:val="00E54408"/>
    <w:rsid w:val="00E56BB1"/>
    <w:rsid w:val="00E7027C"/>
    <w:rsid w:val="00E72AAD"/>
    <w:rsid w:val="00E73EDC"/>
    <w:rsid w:val="00E75858"/>
    <w:rsid w:val="00E76425"/>
    <w:rsid w:val="00E9397E"/>
    <w:rsid w:val="00E96B4B"/>
    <w:rsid w:val="00EA1117"/>
    <w:rsid w:val="00EA39E7"/>
    <w:rsid w:val="00EA566A"/>
    <w:rsid w:val="00EA72F0"/>
    <w:rsid w:val="00EB0D26"/>
    <w:rsid w:val="00EB0E40"/>
    <w:rsid w:val="00EB1E41"/>
    <w:rsid w:val="00EB2649"/>
    <w:rsid w:val="00EB31E5"/>
    <w:rsid w:val="00EB4401"/>
    <w:rsid w:val="00EC5D60"/>
    <w:rsid w:val="00EC6829"/>
    <w:rsid w:val="00ED3551"/>
    <w:rsid w:val="00ED3575"/>
    <w:rsid w:val="00ED49A3"/>
    <w:rsid w:val="00ED5977"/>
    <w:rsid w:val="00F0139E"/>
    <w:rsid w:val="00F0384A"/>
    <w:rsid w:val="00F05DEC"/>
    <w:rsid w:val="00F07582"/>
    <w:rsid w:val="00F07D4C"/>
    <w:rsid w:val="00F15354"/>
    <w:rsid w:val="00F25DA6"/>
    <w:rsid w:val="00F40967"/>
    <w:rsid w:val="00F43073"/>
    <w:rsid w:val="00F43EE0"/>
    <w:rsid w:val="00F447F5"/>
    <w:rsid w:val="00F453F6"/>
    <w:rsid w:val="00F563B2"/>
    <w:rsid w:val="00F569CF"/>
    <w:rsid w:val="00F63186"/>
    <w:rsid w:val="00F6350C"/>
    <w:rsid w:val="00F64208"/>
    <w:rsid w:val="00F73AC9"/>
    <w:rsid w:val="00F80EA0"/>
    <w:rsid w:val="00F80FBD"/>
    <w:rsid w:val="00F838BE"/>
    <w:rsid w:val="00F94095"/>
    <w:rsid w:val="00F94AB5"/>
    <w:rsid w:val="00F951C4"/>
    <w:rsid w:val="00FA00BD"/>
    <w:rsid w:val="00FA658F"/>
    <w:rsid w:val="00FA699F"/>
    <w:rsid w:val="00FB1254"/>
    <w:rsid w:val="00FB2C75"/>
    <w:rsid w:val="00FB4B44"/>
    <w:rsid w:val="00FB4E41"/>
    <w:rsid w:val="00FB4EA2"/>
    <w:rsid w:val="00FB5942"/>
    <w:rsid w:val="00FE3722"/>
    <w:rsid w:val="00FF1C47"/>
    <w:rsid w:val="00FF2AD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37959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F4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ng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i-partiii.fng.ca/fng-gpn-II-III/sfm/fr/17716/1/document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fmb.com/fr/services/assurer-la-certification-des-premieres-nations/certification-du-systeme-de-ges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nfmb.com/fr/services/assurer-la-certification-des-premieres-nations/certification-du-rendement-financi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nfmb.com/fr" TargetMode="External"/><Relationship Id="rId14" Type="http://schemas.openxmlformats.org/officeDocument/2006/relationships/hyperlink" Target="https://partii-partiii.fng.ca/fng-gpn-II-III/sfm/fr/17716/1/documen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8509</Characters>
  <Application>Microsoft Office Word</Application>
  <DocSecurity>4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Workplan</vt:lpstr>
      <vt:lpstr>Draft Workplan</vt:lpstr>
    </vt:vector>
  </TitlesOfParts>
  <Company/>
  <LinksUpToDate>false</LinksUpToDate>
  <CharactersWithSpaces>10059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2</cp:revision>
  <cp:lastPrinted>2020-01-10T22:19:00Z</cp:lastPrinted>
  <dcterms:created xsi:type="dcterms:W3CDTF">2022-10-19T17:49:00Z</dcterms:created>
  <dcterms:modified xsi:type="dcterms:W3CDTF">2022-10-19T17:49:00Z</dcterms:modified>
</cp:coreProperties>
</file>