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792D7" w14:textId="77777777" w:rsidR="00304455" w:rsidRPr="00156596" w:rsidRDefault="00D5155B" w:rsidP="00F65523">
      <w:pPr>
        <w:tabs>
          <w:tab w:val="left" w:pos="-720"/>
        </w:tabs>
        <w:ind w:left="-720"/>
        <w:rPr>
          <w:lang w:val="fr-CA"/>
        </w:rPr>
      </w:pPr>
      <w:r w:rsidRPr="00156596">
        <w:rPr>
          <w:noProof/>
          <w:lang w:val="fr-CA"/>
        </w:rPr>
        <w:drawing>
          <wp:anchor distT="0" distB="0" distL="114300" distR="114300" simplePos="0" relativeHeight="251658240" behindDoc="1" locked="0" layoutInCell="1" allowOverlap="1" wp14:anchorId="6E2CEE5C" wp14:editId="74A94349">
            <wp:simplePos x="0" y="0"/>
            <wp:positionH relativeFrom="column">
              <wp:posOffset>-457200</wp:posOffset>
            </wp:positionH>
            <wp:positionV relativeFrom="page">
              <wp:posOffset>257175</wp:posOffset>
            </wp:positionV>
            <wp:extent cx="3596640" cy="100965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3596640" cy="1009650"/>
                    </a:xfrm>
                    <a:prstGeom prst="rect">
                      <a:avLst/>
                    </a:prstGeom>
                    <a:noFill/>
                    <a:ln>
                      <a:noFill/>
                    </a:ln>
                  </pic:spPr>
                </pic:pic>
              </a:graphicData>
            </a:graphic>
          </wp:anchor>
        </w:drawing>
      </w:r>
    </w:p>
    <w:p w14:paraId="4CD91F51" w14:textId="77777777" w:rsidR="001D4792" w:rsidRPr="00156596" w:rsidRDefault="001D4792" w:rsidP="00842B72">
      <w:pPr>
        <w:rPr>
          <w:lang w:val="fr-CA"/>
        </w:rPr>
      </w:pPr>
    </w:p>
    <w:p w14:paraId="40933EC4" w14:textId="77777777" w:rsidR="00D35F8F" w:rsidRPr="00156596" w:rsidRDefault="00D35F8F" w:rsidP="00842B72">
      <w:pPr>
        <w:rPr>
          <w:lang w:val="fr-CA"/>
        </w:rPr>
      </w:pPr>
    </w:p>
    <w:p w14:paraId="082005B3" w14:textId="77777777" w:rsidR="008609EE" w:rsidRPr="00156596" w:rsidRDefault="008609EE" w:rsidP="00F65523">
      <w:pPr>
        <w:rPr>
          <w:lang w:val="fr-CA"/>
        </w:rPr>
      </w:pPr>
    </w:p>
    <w:p w14:paraId="6BDBC4F6" w14:textId="6E7A5502" w:rsidR="00794A12" w:rsidRPr="00156596" w:rsidRDefault="00156596" w:rsidP="00F65523">
      <w:pPr>
        <w:rPr>
          <w:lang w:val="fr-CA"/>
        </w:rPr>
      </w:pPr>
      <w:r w:rsidRPr="00156596">
        <w:rPr>
          <w:lang w:val="fr-CA"/>
        </w:rPr>
        <w:t>Le 28 juillet</w:t>
      </w:r>
      <w:r w:rsidR="007A73D5" w:rsidRPr="00156596">
        <w:rPr>
          <w:lang w:val="fr-CA"/>
        </w:rPr>
        <w:t xml:space="preserve"> 2025</w:t>
      </w:r>
    </w:p>
    <w:p w14:paraId="691FF073" w14:textId="77777777" w:rsidR="00C748E9" w:rsidRPr="00156596" w:rsidRDefault="00C748E9" w:rsidP="00F65523">
      <w:pPr>
        <w:rPr>
          <w:b/>
          <w:bCs/>
          <w:lang w:val="fr-CA"/>
        </w:rPr>
      </w:pPr>
    </w:p>
    <w:p w14:paraId="095858F4" w14:textId="77777777" w:rsidR="00BE7BCD" w:rsidRPr="00156596" w:rsidRDefault="00BE7BCD" w:rsidP="00F65523">
      <w:pPr>
        <w:rPr>
          <w:b/>
          <w:bCs/>
          <w:lang w:val="fr-CA"/>
        </w:rPr>
      </w:pPr>
    </w:p>
    <w:p w14:paraId="1D592EB5" w14:textId="7A4DB4A6" w:rsidR="001D4792" w:rsidRPr="00156596" w:rsidRDefault="00156596" w:rsidP="00F65523">
      <w:pPr>
        <w:jc w:val="center"/>
        <w:rPr>
          <w:b/>
          <w:bCs/>
          <w:lang w:val="fr-CA"/>
        </w:rPr>
      </w:pPr>
      <w:r w:rsidRPr="00156596">
        <w:rPr>
          <w:b/>
          <w:bCs/>
          <w:lang w:val="fr-CA"/>
        </w:rPr>
        <w:t xml:space="preserve">Modifications proposées aux Normes relatives aux lois sur la taxe sur les activités commerciales des premières nations applicable aux exploitants d’établissements d’hébergement (2017) </w:t>
      </w:r>
    </w:p>
    <w:p w14:paraId="016193B9" w14:textId="77777777" w:rsidR="0090260F" w:rsidRPr="00156596" w:rsidRDefault="0090260F" w:rsidP="00F65523">
      <w:pPr>
        <w:jc w:val="center"/>
        <w:rPr>
          <w:b/>
          <w:bCs/>
          <w:lang w:val="fr-CA"/>
        </w:rPr>
      </w:pPr>
    </w:p>
    <w:p w14:paraId="176CDC01" w14:textId="77777777" w:rsidR="00FF1BCD" w:rsidRPr="00156596" w:rsidRDefault="00FF1BCD" w:rsidP="00F65523">
      <w:pPr>
        <w:rPr>
          <w:rFonts w:cs="Arial"/>
          <w:lang w:val="fr-CA"/>
        </w:rPr>
      </w:pPr>
    </w:p>
    <w:p w14:paraId="4640C3E4" w14:textId="3A3E0D95" w:rsidR="00A7130F" w:rsidRPr="00156596" w:rsidRDefault="00156596" w:rsidP="00A7130F">
      <w:pPr>
        <w:rPr>
          <w:rFonts w:cs="Arial"/>
          <w:lang w:val="fr-CA"/>
        </w:rPr>
      </w:pPr>
      <w:r w:rsidRPr="00A1577B">
        <w:rPr>
          <w:rFonts w:cs="Arial"/>
          <w:noProof/>
          <w:lang w:val="fr-CA"/>
        </w:rPr>
        <w:t>Les normes établies par la Commission de la fiscalité des premières nations (la « Commission » ou la « CFPN ») représentent les pratiques exemplaires d’imposition foncière et visent à appuyer la croissance économique des Premières Nations et l’exercice de leur compétence, l’harmonisation de la fiscalité ainsi que les intérêts de tous les intervenants du régime d’imposition foncière des Premières Nations</w:t>
      </w:r>
      <w:r w:rsidR="00A7130F" w:rsidRPr="00156596">
        <w:rPr>
          <w:rFonts w:cs="Arial"/>
          <w:lang w:val="fr-CA"/>
        </w:rPr>
        <w:t xml:space="preserve">   </w:t>
      </w:r>
    </w:p>
    <w:p w14:paraId="0F6EF8A6" w14:textId="77777777" w:rsidR="005661DC" w:rsidRDefault="005661DC" w:rsidP="00A7130F">
      <w:pPr>
        <w:rPr>
          <w:rFonts w:cs="Arial"/>
          <w:lang w:val="fr-CA"/>
        </w:rPr>
      </w:pPr>
    </w:p>
    <w:p w14:paraId="6DBB18A2" w14:textId="71F2A445" w:rsidR="00A7130F" w:rsidRPr="00156596" w:rsidRDefault="006673F1" w:rsidP="00A7130F">
      <w:pPr>
        <w:rPr>
          <w:lang w:val="fr-CA"/>
        </w:rPr>
      </w:pPr>
      <w:r w:rsidRPr="006673F1">
        <w:rPr>
          <w:rFonts w:cs="Arial"/>
          <w:noProof/>
          <w:lang w:val="fr-CA"/>
        </w:rPr>
        <w:t>En vertu d</w:t>
      </w:r>
      <w:r w:rsidR="00264668" w:rsidRPr="006673F1">
        <w:rPr>
          <w:rFonts w:cs="Arial"/>
          <w:noProof/>
          <w:lang w:val="fr-CA"/>
        </w:rPr>
        <w:t>e</w:t>
      </w:r>
      <w:r w:rsidR="00264668" w:rsidRPr="006673F1">
        <w:rPr>
          <w:rFonts w:cs="Arial"/>
          <w:noProof/>
          <w:lang w:val="fr-CA"/>
        </w:rPr>
        <w:fldChar w:fldCharType="begin"/>
      </w:r>
      <w:r w:rsidR="00264668" w:rsidRPr="006673F1">
        <w:rPr>
          <w:rFonts w:cs="Arial"/>
          <w:noProof/>
          <w:lang w:val="fr-CA"/>
        </w:rPr>
        <w:instrText xml:space="preserve"> SEQ CHAPTER \h \r 1</w:instrText>
      </w:r>
      <w:r w:rsidR="00264668" w:rsidRPr="006673F1">
        <w:rPr>
          <w:rFonts w:cs="Arial"/>
          <w:noProof/>
          <w:lang w:val="fr-CA"/>
        </w:rPr>
        <w:fldChar w:fldCharType="end"/>
      </w:r>
      <w:r w:rsidR="00AB27C9">
        <w:rPr>
          <w:rFonts w:cs="Arial"/>
          <w:noProof/>
          <w:lang w:val="fr-CA"/>
        </w:rPr>
        <w:t xml:space="preserve"> la </w:t>
      </w:r>
      <w:r w:rsidR="00AB27C9" w:rsidRPr="00AB27C9">
        <w:rPr>
          <w:rFonts w:cs="Arial"/>
          <w:i/>
          <w:iCs/>
          <w:noProof/>
          <w:lang w:val="fr-CA"/>
        </w:rPr>
        <w:t>Loi</w:t>
      </w:r>
      <w:r w:rsidR="00264668" w:rsidRPr="006673F1">
        <w:rPr>
          <w:i/>
          <w:iCs/>
          <w:noProof/>
          <w:lang w:val="fr-CA"/>
        </w:rPr>
        <w:t xml:space="preserve"> sur la gestion financière des premières nations</w:t>
      </w:r>
      <w:r w:rsidR="00264668" w:rsidRPr="006673F1">
        <w:rPr>
          <w:noProof/>
          <w:lang w:val="fr-CA"/>
        </w:rPr>
        <w:t xml:space="preserve"> (la « Loi »), la Commission est chargée de l’examen et de l’agrément des textes législatifs. L’alinéa 35(1)a) de la Loi confère à la Commission le pouvoir d’établir des normes concernant la forme et le contenu des textes législatifs sur les recettes locales</w:t>
      </w:r>
      <w:r w:rsidR="00264668" w:rsidRPr="006673F1">
        <w:rPr>
          <w:rFonts w:cs="Arial"/>
          <w:noProof/>
          <w:lang w:val="fr-CA"/>
        </w:rPr>
        <w:t>, dans la mesure où elles ne sont pas incompatibles avec les règlements. Les normes</w:t>
      </w:r>
      <w:r w:rsidR="00264668" w:rsidRPr="00A1577B">
        <w:rPr>
          <w:rFonts w:cs="Arial"/>
          <w:noProof/>
          <w:lang w:val="fr-CA"/>
        </w:rPr>
        <w:t xml:space="preserve"> établies par la Commission constituent des exigences supplémentaires qui, ajoutées à celles de la Loi et de ses règlements d’application, forment le cadre réglementaire qui régit la fiscalité des Premières Nations sous le régime de la Loi</w:t>
      </w:r>
      <w:r w:rsidR="00264668">
        <w:rPr>
          <w:rFonts w:cs="Arial"/>
          <w:noProof/>
          <w:lang w:val="fr-CA"/>
        </w:rPr>
        <w:t xml:space="preserve">. </w:t>
      </w:r>
      <w:r w:rsidR="00264668" w:rsidRPr="00A1577B">
        <w:rPr>
          <w:rFonts w:cs="Times-Roman"/>
          <w:bCs/>
          <w:noProof/>
          <w:color w:val="000000"/>
          <w:lang w:val="fr-CA"/>
        </w:rPr>
        <w:t xml:space="preserve">La Commission a pour politique de </w:t>
      </w:r>
      <w:r w:rsidR="00264668" w:rsidRPr="00A1577B">
        <w:rPr>
          <w:noProof/>
          <w:lang w:val="fr-CA"/>
        </w:rPr>
        <w:t>solliciter les commentaires du public avant d’adopter des normes ou de les modifier substantiellement. Cette rétroaction est essentielle pour lui permettre d’élaborer des normes satisfaisantes et efficaces pour les Premières Nations participantes et leurs contribuables</w:t>
      </w:r>
      <w:r w:rsidR="00264668">
        <w:rPr>
          <w:noProof/>
          <w:lang w:val="fr-CA"/>
        </w:rPr>
        <w:t>.</w:t>
      </w:r>
    </w:p>
    <w:p w14:paraId="3DACF9CF" w14:textId="77777777" w:rsidR="007E146B" w:rsidRPr="00156596" w:rsidRDefault="007E146B" w:rsidP="007E146B">
      <w:pPr>
        <w:rPr>
          <w:rFonts w:cs="Times-Roman"/>
          <w:bCs/>
          <w:color w:val="000000"/>
          <w:lang w:val="fr-CA"/>
        </w:rPr>
      </w:pPr>
    </w:p>
    <w:p w14:paraId="2FF856E3" w14:textId="3FD71C1A" w:rsidR="00ED0272" w:rsidRPr="00156596" w:rsidRDefault="00264668" w:rsidP="007E146B">
      <w:pPr>
        <w:rPr>
          <w:rFonts w:cs="Times-Roman"/>
          <w:bCs/>
          <w:color w:val="000000"/>
          <w:lang w:val="fr-CA"/>
        </w:rPr>
      </w:pPr>
      <w:r>
        <w:rPr>
          <w:rFonts w:cs="Arial"/>
          <w:bCs/>
          <w:color w:val="000000"/>
          <w:lang w:val="fr-CA"/>
        </w:rPr>
        <w:t>En mars</w:t>
      </w:r>
      <w:r w:rsidR="007E146B" w:rsidRPr="00156596">
        <w:rPr>
          <w:rFonts w:cs="Arial"/>
          <w:bCs/>
          <w:color w:val="000000"/>
          <w:lang w:val="fr-CA"/>
        </w:rPr>
        <w:t xml:space="preserve"> </w:t>
      </w:r>
      <w:r w:rsidR="00ED0272" w:rsidRPr="00156596">
        <w:rPr>
          <w:rFonts w:cs="Arial"/>
          <w:bCs/>
          <w:color w:val="000000"/>
          <w:lang w:val="fr-CA"/>
        </w:rPr>
        <w:t xml:space="preserve">2017, </w:t>
      </w:r>
      <w:r>
        <w:rPr>
          <w:rFonts w:cs="Arial"/>
          <w:bCs/>
          <w:color w:val="000000"/>
          <w:lang w:val="fr-CA"/>
        </w:rPr>
        <w:t>la CFPN a établi les</w:t>
      </w:r>
      <w:r w:rsidR="00ED0272" w:rsidRPr="00156596">
        <w:rPr>
          <w:rFonts w:cs="Arial"/>
          <w:bCs/>
          <w:color w:val="000000"/>
          <w:lang w:val="fr-CA"/>
        </w:rPr>
        <w:t xml:space="preserve"> </w:t>
      </w:r>
      <w:r w:rsidR="00156596" w:rsidRPr="00156596">
        <w:rPr>
          <w:rFonts w:cs="Arial"/>
          <w:i/>
          <w:lang w:val="fr-CA"/>
        </w:rPr>
        <w:t>Normes relatives aux lois sur la taxe sur les activités commerciales des premières nations applicable aux exploitants d’établissements d’hébergement (2017)</w:t>
      </w:r>
      <w:r w:rsidR="00156596" w:rsidRPr="00156596">
        <w:rPr>
          <w:rFonts w:cs="Arial"/>
          <w:lang w:val="fr-CA"/>
        </w:rPr>
        <w:t>.</w:t>
      </w:r>
      <w:r w:rsidR="00ED0272" w:rsidRPr="00156596">
        <w:rPr>
          <w:rFonts w:cs="Arial"/>
          <w:bCs/>
          <w:color w:val="000000"/>
          <w:lang w:val="fr-CA"/>
        </w:rPr>
        <w:t xml:space="preserve"> </w:t>
      </w:r>
      <w:r>
        <w:rPr>
          <w:rFonts w:cs="Arial"/>
          <w:bCs/>
          <w:color w:val="000000"/>
          <w:lang w:val="fr-CA"/>
        </w:rPr>
        <w:t>Ces normes régissent les textes législatifs des Premières Nations qui imposent la taxe sur les activités commerciales aux exploitants d’établissements d’hébergement tels les hôtels et les motels</w:t>
      </w:r>
      <w:r w:rsidR="00930E31">
        <w:rPr>
          <w:rFonts w:cs="Arial"/>
          <w:bCs/>
          <w:color w:val="000000"/>
          <w:lang w:val="fr-CA"/>
        </w:rPr>
        <w:t xml:space="preserve"> </w:t>
      </w:r>
      <w:r w:rsidR="00A74AE0">
        <w:rPr>
          <w:rFonts w:cs="Arial"/>
          <w:bCs/>
          <w:color w:val="000000"/>
          <w:lang w:val="fr-CA"/>
        </w:rPr>
        <w:t>situés</w:t>
      </w:r>
      <w:r w:rsidR="00930E31">
        <w:rPr>
          <w:rFonts w:cs="Arial"/>
          <w:bCs/>
          <w:color w:val="000000"/>
          <w:lang w:val="fr-CA"/>
        </w:rPr>
        <w:t xml:space="preserve"> dans les réserves. Les Normes ont fait l’objet de modifications supplémentaires et </w:t>
      </w:r>
      <w:r w:rsidR="00A74AE0">
        <w:rPr>
          <w:rFonts w:cs="Arial"/>
          <w:bCs/>
          <w:color w:val="000000"/>
          <w:lang w:val="fr-CA"/>
        </w:rPr>
        <w:t xml:space="preserve">ont été </w:t>
      </w:r>
      <w:r w:rsidR="00930E31">
        <w:rPr>
          <w:rFonts w:cs="Arial"/>
          <w:bCs/>
          <w:color w:val="000000"/>
          <w:lang w:val="fr-CA"/>
        </w:rPr>
        <w:t xml:space="preserve">codifiées en </w:t>
      </w:r>
      <w:r w:rsidR="007A73D5" w:rsidRPr="00156596">
        <w:rPr>
          <w:rFonts w:cs="Times-Roman"/>
          <w:bCs/>
          <w:color w:val="000000"/>
          <w:lang w:val="fr-CA"/>
        </w:rPr>
        <w:t>2019.</w:t>
      </w:r>
    </w:p>
    <w:p w14:paraId="652A1063" w14:textId="77777777" w:rsidR="00ED0272" w:rsidRPr="00156596" w:rsidRDefault="00ED0272" w:rsidP="007E146B">
      <w:pPr>
        <w:rPr>
          <w:rFonts w:cs="Times-Roman"/>
          <w:bCs/>
          <w:color w:val="000000"/>
          <w:lang w:val="fr-CA"/>
        </w:rPr>
      </w:pPr>
    </w:p>
    <w:p w14:paraId="19C3A293" w14:textId="629271F0" w:rsidR="00ED0272" w:rsidRPr="00156596" w:rsidRDefault="00930E31" w:rsidP="007E146B">
      <w:pPr>
        <w:rPr>
          <w:rFonts w:cs="Times-Roman"/>
          <w:bCs/>
          <w:color w:val="000000"/>
          <w:lang w:val="fr-CA"/>
        </w:rPr>
      </w:pPr>
      <w:r>
        <w:rPr>
          <w:rFonts w:cs="Times-Roman"/>
          <w:bCs/>
          <w:color w:val="000000"/>
          <w:lang w:val="fr-CA"/>
        </w:rPr>
        <w:t>En juillet</w:t>
      </w:r>
      <w:r w:rsidR="007A73D5" w:rsidRPr="00156596">
        <w:rPr>
          <w:rFonts w:cs="Times-Roman"/>
          <w:bCs/>
          <w:color w:val="000000"/>
          <w:lang w:val="fr-CA"/>
        </w:rPr>
        <w:t xml:space="preserve"> 2025</w:t>
      </w:r>
      <w:r w:rsidR="00ED0272" w:rsidRPr="00156596">
        <w:rPr>
          <w:rFonts w:cs="Times-Roman"/>
          <w:bCs/>
          <w:color w:val="000000"/>
          <w:lang w:val="fr-CA"/>
        </w:rPr>
        <w:t xml:space="preserve">, </w:t>
      </w:r>
      <w:r>
        <w:rPr>
          <w:rFonts w:cs="Times-Roman"/>
          <w:bCs/>
          <w:color w:val="000000"/>
          <w:lang w:val="fr-CA"/>
        </w:rPr>
        <w:t xml:space="preserve">la CFPN a approuvé </w:t>
      </w:r>
      <w:r w:rsidR="00A74AE0">
        <w:rPr>
          <w:rFonts w:cs="Times-Roman"/>
          <w:bCs/>
          <w:color w:val="000000"/>
          <w:lang w:val="fr-CA"/>
        </w:rPr>
        <w:t>les</w:t>
      </w:r>
      <w:r>
        <w:rPr>
          <w:rFonts w:cs="Times-Roman"/>
          <w:bCs/>
          <w:color w:val="000000"/>
          <w:lang w:val="fr-CA"/>
        </w:rPr>
        <w:t xml:space="preserve"> modifications proposées aux Normes </w:t>
      </w:r>
      <w:r w:rsidR="00A74AE0">
        <w:rPr>
          <w:rFonts w:cs="Times-Roman"/>
          <w:bCs/>
          <w:color w:val="000000"/>
          <w:lang w:val="fr-CA"/>
        </w:rPr>
        <w:t xml:space="preserve">qui visent à </w:t>
      </w:r>
      <w:r>
        <w:rPr>
          <w:rFonts w:cs="Times-Roman"/>
          <w:bCs/>
          <w:color w:val="000000"/>
          <w:lang w:val="fr-CA"/>
        </w:rPr>
        <w:t xml:space="preserve">uniformiser à l’échelle nationale l’établissement du taux initial de la taxe sur les activités commerciales </w:t>
      </w:r>
      <w:r w:rsidR="00A74AE0">
        <w:rPr>
          <w:rFonts w:cs="Times-Roman"/>
          <w:bCs/>
          <w:color w:val="000000"/>
          <w:lang w:val="fr-CA"/>
        </w:rPr>
        <w:t>applicable</w:t>
      </w:r>
      <w:r>
        <w:rPr>
          <w:rFonts w:cs="Times-Roman"/>
          <w:bCs/>
          <w:color w:val="000000"/>
          <w:lang w:val="fr-CA"/>
        </w:rPr>
        <w:t xml:space="preserve"> aux exploitants d’établissements d’hébergement et </w:t>
      </w:r>
      <w:r w:rsidR="003E1701">
        <w:rPr>
          <w:rFonts w:cs="Times-Roman"/>
          <w:bCs/>
          <w:color w:val="000000"/>
          <w:lang w:val="fr-CA"/>
        </w:rPr>
        <w:t xml:space="preserve">à </w:t>
      </w:r>
      <w:r w:rsidR="0080652A">
        <w:rPr>
          <w:rFonts w:cs="Times-Roman"/>
          <w:bCs/>
          <w:color w:val="000000"/>
          <w:lang w:val="fr-CA"/>
        </w:rPr>
        <w:t>porter le maximum du</w:t>
      </w:r>
      <w:r>
        <w:rPr>
          <w:rFonts w:cs="Times-Roman"/>
          <w:bCs/>
          <w:color w:val="000000"/>
          <w:lang w:val="fr-CA"/>
        </w:rPr>
        <w:t xml:space="preserve"> taux de taxe</w:t>
      </w:r>
      <w:r w:rsidR="0080652A">
        <w:rPr>
          <w:rFonts w:cs="Times-Roman"/>
          <w:bCs/>
          <w:color w:val="000000"/>
          <w:lang w:val="fr-CA"/>
        </w:rPr>
        <w:t xml:space="preserve"> </w:t>
      </w:r>
      <w:r>
        <w:rPr>
          <w:rFonts w:cs="Times-Roman"/>
          <w:bCs/>
          <w:color w:val="000000"/>
          <w:lang w:val="fr-CA"/>
        </w:rPr>
        <w:t>à 6 %.</w:t>
      </w:r>
      <w:r w:rsidR="00A74AE0" w:rsidRPr="00A74AE0">
        <w:rPr>
          <w:rFonts w:cs="Times-Roman"/>
          <w:bCs/>
          <w:color w:val="000000"/>
        </w:rPr>
        <w:t xml:space="preserve"> </w:t>
      </w:r>
      <w:r>
        <w:rPr>
          <w:rFonts w:cs="Times-Roman"/>
          <w:bCs/>
          <w:color w:val="000000"/>
          <w:lang w:val="fr-CA"/>
        </w:rPr>
        <w:t xml:space="preserve">  </w:t>
      </w:r>
      <w:r w:rsidR="00ED0272" w:rsidRPr="00156596">
        <w:rPr>
          <w:rFonts w:cs="Times-Roman"/>
          <w:bCs/>
          <w:color w:val="000000"/>
          <w:lang w:val="fr-CA"/>
        </w:rPr>
        <w:t xml:space="preserve"> </w:t>
      </w:r>
      <w:r w:rsidR="00E2656A" w:rsidRPr="00156596">
        <w:rPr>
          <w:rFonts w:cs="Times-Roman"/>
          <w:bCs/>
          <w:color w:val="000000"/>
          <w:lang w:val="fr-CA"/>
        </w:rPr>
        <w:t xml:space="preserve">                      </w:t>
      </w:r>
    </w:p>
    <w:p w14:paraId="01409781" w14:textId="77777777" w:rsidR="003E6C28" w:rsidRPr="00156596" w:rsidRDefault="003E6C28" w:rsidP="003E6C28">
      <w:pPr>
        <w:rPr>
          <w:rFonts w:cs="Times-Roman"/>
          <w:bCs/>
          <w:color w:val="000000"/>
          <w:lang w:val="fr-CA"/>
        </w:rPr>
      </w:pPr>
    </w:p>
    <w:p w14:paraId="4D0B8B3F" w14:textId="16C6855B" w:rsidR="00491138" w:rsidRPr="00156596" w:rsidRDefault="00930E31" w:rsidP="003E1701">
      <w:pPr>
        <w:keepNext/>
        <w:keepLines/>
        <w:rPr>
          <w:lang w:val="fr-CA"/>
        </w:rPr>
      </w:pPr>
      <w:r>
        <w:rPr>
          <w:lang w:val="fr-CA"/>
        </w:rPr>
        <w:lastRenderedPageBreak/>
        <w:t xml:space="preserve">Les modifications </w:t>
      </w:r>
      <w:r w:rsidR="00CD159F">
        <w:rPr>
          <w:lang w:val="fr-CA"/>
        </w:rPr>
        <w:t>proposées aux Normes visent à :</w:t>
      </w:r>
    </w:p>
    <w:p w14:paraId="08D76512" w14:textId="308DDAB1" w:rsidR="00491138" w:rsidRPr="00156596" w:rsidRDefault="007A73D5" w:rsidP="003E1701">
      <w:pPr>
        <w:keepNext/>
        <w:keepLines/>
        <w:rPr>
          <w:lang w:val="fr-CA"/>
        </w:rPr>
      </w:pPr>
      <w:r w:rsidRPr="00156596">
        <w:rPr>
          <w:lang w:val="fr-CA"/>
        </w:rPr>
        <w:t xml:space="preserve"> </w:t>
      </w:r>
    </w:p>
    <w:p w14:paraId="2B2436E2" w14:textId="2618D1F0" w:rsidR="00491138" w:rsidRPr="00156596" w:rsidRDefault="007C76E5" w:rsidP="003E1701">
      <w:pPr>
        <w:pStyle w:val="ListParagraph"/>
        <w:keepNext/>
        <w:keepLines/>
        <w:numPr>
          <w:ilvl w:val="0"/>
          <w:numId w:val="16"/>
        </w:numPr>
        <w:ind w:left="720"/>
        <w:rPr>
          <w:lang w:val="fr-CA"/>
        </w:rPr>
      </w:pPr>
      <w:r>
        <w:rPr>
          <w:lang w:val="fr-CA"/>
        </w:rPr>
        <w:t xml:space="preserve">supprimer l’exigence </w:t>
      </w:r>
      <w:r w:rsidR="003E1701">
        <w:rPr>
          <w:lang w:val="fr-CA"/>
        </w:rPr>
        <w:t>de se conformer au</w:t>
      </w:r>
      <w:r>
        <w:rPr>
          <w:lang w:val="fr-CA"/>
        </w:rPr>
        <w:t xml:space="preserve"> maximum </w:t>
      </w:r>
      <w:r w:rsidR="003E1701">
        <w:rPr>
          <w:lang w:val="fr-CA"/>
        </w:rPr>
        <w:t>du taux de taxe provincial pour</w:t>
      </w:r>
      <w:r>
        <w:rPr>
          <w:lang w:val="fr-CA"/>
        </w:rPr>
        <w:t xml:space="preserve"> la première année de prélèvement de la tax</w:t>
      </w:r>
      <w:r w:rsidR="007A73D5" w:rsidRPr="00156596">
        <w:rPr>
          <w:lang w:val="fr-CA"/>
        </w:rPr>
        <w:t>e</w:t>
      </w:r>
      <w:r>
        <w:rPr>
          <w:lang w:val="fr-CA"/>
        </w:rPr>
        <w:t>;</w:t>
      </w:r>
    </w:p>
    <w:p w14:paraId="7482570D" w14:textId="7EB76A85" w:rsidR="00ED0272" w:rsidRPr="00156596" w:rsidRDefault="007C76E5" w:rsidP="007E146B">
      <w:pPr>
        <w:pStyle w:val="ListParagraph"/>
        <w:numPr>
          <w:ilvl w:val="0"/>
          <w:numId w:val="16"/>
        </w:numPr>
        <w:ind w:left="720"/>
        <w:rPr>
          <w:lang w:val="fr-CA"/>
        </w:rPr>
      </w:pPr>
      <w:r>
        <w:rPr>
          <w:lang w:val="fr-CA"/>
        </w:rPr>
        <w:t xml:space="preserve">augmenter le taux maximum </w:t>
      </w:r>
      <w:r w:rsidR="0080652A">
        <w:rPr>
          <w:lang w:val="fr-CA"/>
        </w:rPr>
        <w:t xml:space="preserve">de taxe </w:t>
      </w:r>
      <w:r>
        <w:rPr>
          <w:lang w:val="fr-CA"/>
        </w:rPr>
        <w:t>en le faisant passer de 5 % à 6</w:t>
      </w:r>
      <w:r w:rsidR="003E1701">
        <w:rPr>
          <w:lang w:val="fr-CA"/>
        </w:rPr>
        <w:t xml:space="preserve"> %</w:t>
      </w:r>
      <w:r>
        <w:rPr>
          <w:lang w:val="fr-CA"/>
        </w:rPr>
        <w:t xml:space="preserve">. </w:t>
      </w:r>
    </w:p>
    <w:p w14:paraId="475295F1" w14:textId="77777777" w:rsidR="004B5701" w:rsidRPr="00156596" w:rsidRDefault="004B5701" w:rsidP="004B5701">
      <w:pPr>
        <w:pStyle w:val="ListParagraph"/>
        <w:ind w:left="360"/>
        <w:rPr>
          <w:rFonts w:cs="Arial"/>
          <w:lang w:val="fr-CA"/>
        </w:rPr>
      </w:pPr>
    </w:p>
    <w:p w14:paraId="3885ADD2" w14:textId="43C338C7" w:rsidR="00930E31" w:rsidRPr="00A1577B" w:rsidRDefault="00930E31" w:rsidP="00930E31">
      <w:pPr>
        <w:rPr>
          <w:lang w:val="fr-CA"/>
        </w:rPr>
      </w:pPr>
      <w:r w:rsidRPr="008063CC">
        <w:rPr>
          <w:lang w:val="fr-CA"/>
        </w:rPr>
        <w:t xml:space="preserve">La CFPN souhaite obtenir les commentaires du public sur les </w:t>
      </w:r>
      <w:r>
        <w:rPr>
          <w:lang w:val="fr-CA"/>
        </w:rPr>
        <w:t xml:space="preserve">modifications </w:t>
      </w:r>
      <w:r w:rsidRPr="008063CC">
        <w:rPr>
          <w:lang w:val="fr-CA"/>
        </w:rPr>
        <w:t>proposées</w:t>
      </w:r>
      <w:r>
        <w:rPr>
          <w:lang w:val="fr-CA"/>
        </w:rPr>
        <w:t xml:space="preserve"> aux Normes</w:t>
      </w:r>
      <w:r w:rsidRPr="008063CC">
        <w:rPr>
          <w:lang w:val="fr-CA"/>
        </w:rPr>
        <w:t xml:space="preserve">. </w:t>
      </w:r>
      <w:r>
        <w:rPr>
          <w:lang w:val="fr-CA"/>
        </w:rPr>
        <w:t>Si vous souhaitez en savoir davantage, veuillez co</w:t>
      </w:r>
      <w:r w:rsidR="009534AE">
        <w:rPr>
          <w:lang w:val="fr-CA"/>
        </w:rPr>
        <w:t>mmuniquer avec</w:t>
      </w:r>
      <w:r>
        <w:rPr>
          <w:lang w:val="fr-CA"/>
        </w:rPr>
        <w:t xml:space="preserve"> la Commission à </w:t>
      </w:r>
      <w:hyperlink r:id="rId9" w:history="1">
        <w:r w:rsidRPr="00156596">
          <w:rPr>
            <w:rStyle w:val="Hyperlink"/>
            <w:lang w:val="fr-CA"/>
          </w:rPr>
          <w:t>mail@fntc.ca</w:t>
        </w:r>
      </w:hyperlink>
      <w:r w:rsidRPr="00156596">
        <w:rPr>
          <w:lang w:val="fr-CA"/>
        </w:rPr>
        <w:t>.</w:t>
      </w:r>
      <w:r>
        <w:rPr>
          <w:lang w:val="fr-CA"/>
        </w:rPr>
        <w:t xml:space="preserve"> </w:t>
      </w:r>
      <w:r w:rsidRPr="008063CC">
        <w:rPr>
          <w:lang w:val="fr-CA"/>
        </w:rPr>
        <w:t xml:space="preserve">Vous pouvez obtenir la version électronique des </w:t>
      </w:r>
      <w:r>
        <w:rPr>
          <w:lang w:val="fr-CA"/>
        </w:rPr>
        <w:t>n</w:t>
      </w:r>
      <w:r w:rsidRPr="008063CC">
        <w:rPr>
          <w:lang w:val="fr-CA"/>
        </w:rPr>
        <w:t xml:space="preserve">ormes proposées </w:t>
      </w:r>
      <w:r w:rsidR="009534AE">
        <w:rPr>
          <w:lang w:val="fr-CA"/>
        </w:rPr>
        <w:t>à</w:t>
      </w:r>
      <w:r w:rsidRPr="008063CC">
        <w:rPr>
          <w:lang w:val="fr-CA"/>
        </w:rPr>
        <w:t xml:space="preserve"> </w:t>
      </w:r>
      <w:hyperlink r:id="rId10" w:history="1">
        <w:r w:rsidRPr="00A1577B">
          <w:rPr>
            <w:rStyle w:val="Hyperlink"/>
            <w:lang w:val="fr-CA"/>
          </w:rPr>
          <w:t>www.fntc.ca</w:t>
        </w:r>
      </w:hyperlink>
      <w:r w:rsidRPr="00A1577B">
        <w:rPr>
          <w:lang w:val="fr-CA"/>
        </w:rPr>
        <w:t xml:space="preserve"> o</w:t>
      </w:r>
      <w:r>
        <w:rPr>
          <w:lang w:val="fr-CA"/>
        </w:rPr>
        <w:t>u en cliquant sur le lien ci-après :</w:t>
      </w:r>
    </w:p>
    <w:p w14:paraId="64B4F6FF" w14:textId="77777777" w:rsidR="00A7130F" w:rsidRPr="00156596" w:rsidRDefault="00A7130F" w:rsidP="00A7130F">
      <w:pPr>
        <w:rPr>
          <w:lang w:val="fr-CA"/>
        </w:rPr>
      </w:pPr>
    </w:p>
    <w:p w14:paraId="0D7482B6" w14:textId="77777777" w:rsidR="00A7130F" w:rsidRPr="00156596" w:rsidRDefault="00A7130F" w:rsidP="00A7130F">
      <w:pPr>
        <w:rPr>
          <w:lang w:val="fr-CA"/>
        </w:rPr>
      </w:pPr>
    </w:p>
    <w:p w14:paraId="49C72D13" w14:textId="3B0B85FC" w:rsidR="001B1656" w:rsidRPr="00156596" w:rsidRDefault="00BF785B" w:rsidP="001B1656">
      <w:pPr>
        <w:jc w:val="center"/>
        <w:rPr>
          <w:bCs/>
          <w:i/>
          <w:iCs/>
          <w:lang w:val="fr-CA"/>
        </w:rPr>
      </w:pPr>
      <w:hyperlink r:id="rId11" w:history="1">
        <w:r w:rsidR="003E1701" w:rsidRPr="00BF785B">
          <w:rPr>
            <w:rStyle w:val="Hyperlink"/>
            <w:rFonts w:cs="Arial"/>
            <w:i/>
            <w:lang w:val="fr-CA"/>
          </w:rPr>
          <w:t>Normes relatives aux lois sur la taxe sur les activités commerciales des premières nations applicable aux exploitants d’établissements d’hébergement (2017)</w:t>
        </w:r>
      </w:hyperlink>
      <w:r w:rsidR="001B1656" w:rsidRPr="00156596">
        <w:rPr>
          <w:rFonts w:cs="Arial"/>
          <w:i/>
          <w:iCs/>
          <w:lang w:val="fr-CA"/>
        </w:rPr>
        <w:t xml:space="preserve"> </w:t>
      </w:r>
    </w:p>
    <w:p w14:paraId="79190B24" w14:textId="77777777" w:rsidR="00A7130F" w:rsidRPr="00156596" w:rsidRDefault="00A7130F" w:rsidP="00A7130F">
      <w:pPr>
        <w:spacing w:after="120"/>
        <w:rPr>
          <w:lang w:val="fr-CA"/>
        </w:rPr>
      </w:pPr>
      <w:r w:rsidRPr="00156596">
        <w:rPr>
          <w:lang w:val="fr-CA"/>
        </w:rPr>
        <w:tab/>
      </w:r>
      <w:r w:rsidRPr="00156596">
        <w:rPr>
          <w:lang w:val="fr-CA"/>
        </w:rPr>
        <w:tab/>
      </w:r>
      <w:r w:rsidRPr="00156596">
        <w:rPr>
          <w:lang w:val="fr-CA"/>
        </w:rPr>
        <w:tab/>
      </w:r>
      <w:r w:rsidRPr="00156596">
        <w:rPr>
          <w:lang w:val="fr-CA"/>
        </w:rPr>
        <w:tab/>
      </w:r>
    </w:p>
    <w:p w14:paraId="3A1DF808" w14:textId="384B3578" w:rsidR="00930E31" w:rsidRPr="008063CC" w:rsidRDefault="00930E31" w:rsidP="00930E31">
      <w:pPr>
        <w:rPr>
          <w:lang w:val="fr-CA"/>
        </w:rPr>
      </w:pPr>
      <w:r w:rsidRPr="008063CC">
        <w:rPr>
          <w:lang w:val="fr-CA"/>
        </w:rPr>
        <w:t>Veuillez faire parvenir vos commentaires par écrit au plus tard le 2</w:t>
      </w:r>
      <w:r>
        <w:rPr>
          <w:lang w:val="fr-CA"/>
        </w:rPr>
        <w:t>9 août</w:t>
      </w:r>
      <w:r w:rsidRPr="008063CC">
        <w:rPr>
          <w:lang w:val="fr-CA"/>
        </w:rPr>
        <w:t xml:space="preserve"> 202</w:t>
      </w:r>
      <w:r>
        <w:rPr>
          <w:lang w:val="fr-CA"/>
        </w:rPr>
        <w:t>5</w:t>
      </w:r>
      <w:r w:rsidRPr="008063CC">
        <w:rPr>
          <w:lang w:val="fr-CA"/>
        </w:rPr>
        <w:t xml:space="preserve"> à l’adresse suivante : </w:t>
      </w:r>
    </w:p>
    <w:p w14:paraId="4F2AA18F" w14:textId="77777777" w:rsidR="00930E31" w:rsidRPr="00156596" w:rsidRDefault="00930E31" w:rsidP="00930E31">
      <w:pPr>
        <w:rPr>
          <w:lang w:val="fr-CA"/>
        </w:rPr>
      </w:pPr>
    </w:p>
    <w:p w14:paraId="3184C983" w14:textId="77777777" w:rsidR="00930E31" w:rsidRPr="00156596" w:rsidRDefault="00930E31" w:rsidP="00930E31">
      <w:pPr>
        <w:rPr>
          <w:lang w:val="fr-CA"/>
        </w:rPr>
      </w:pPr>
    </w:p>
    <w:p w14:paraId="4D6C736A" w14:textId="77777777" w:rsidR="00930E31" w:rsidRPr="008063CC" w:rsidRDefault="00930E31" w:rsidP="00930E31">
      <w:pPr>
        <w:jc w:val="center"/>
        <w:rPr>
          <w:rFonts w:cs="Arial"/>
          <w:b/>
          <w:bCs/>
          <w:lang w:val="fr-CA"/>
        </w:rPr>
      </w:pPr>
      <w:r w:rsidRPr="008063CC">
        <w:rPr>
          <w:rFonts w:cs="Arial"/>
          <w:b/>
          <w:bCs/>
          <w:lang w:val="fr-CA"/>
        </w:rPr>
        <w:t>Commission de la fiscalité des premières nations</w:t>
      </w:r>
    </w:p>
    <w:p w14:paraId="5FFE64D2" w14:textId="77777777" w:rsidR="00930E31" w:rsidRPr="008063CC" w:rsidRDefault="00930E31" w:rsidP="00930E31">
      <w:pPr>
        <w:spacing w:line="255" w:lineRule="atLeast"/>
        <w:jc w:val="center"/>
        <w:rPr>
          <w:rFonts w:cs="Arial"/>
          <w:lang w:val="fr-CA"/>
        </w:rPr>
      </w:pPr>
      <w:r w:rsidRPr="008063CC">
        <w:rPr>
          <w:rFonts w:cs="Arial"/>
          <w:lang w:val="fr-CA"/>
        </w:rPr>
        <w:t xml:space="preserve">345, Chief Alex Thomas </w:t>
      </w:r>
      <w:proofErr w:type="spellStart"/>
      <w:r w:rsidRPr="008063CC">
        <w:rPr>
          <w:rFonts w:cs="Arial"/>
          <w:lang w:val="fr-CA"/>
        </w:rPr>
        <w:t>Way</w:t>
      </w:r>
      <w:proofErr w:type="spellEnd"/>
      <w:r w:rsidRPr="008063CC">
        <w:rPr>
          <w:rFonts w:cs="Arial"/>
          <w:lang w:val="fr-CA"/>
        </w:rPr>
        <w:t>, bureau 321</w:t>
      </w:r>
    </w:p>
    <w:p w14:paraId="3D6EC5AC" w14:textId="77777777" w:rsidR="00930E31" w:rsidRPr="008063CC" w:rsidRDefault="00930E31" w:rsidP="00930E31">
      <w:pPr>
        <w:spacing w:line="255" w:lineRule="atLeast"/>
        <w:jc w:val="center"/>
        <w:rPr>
          <w:rFonts w:cs="Arial"/>
          <w:lang w:val="fr-CA"/>
        </w:rPr>
      </w:pPr>
      <w:r w:rsidRPr="008063CC">
        <w:rPr>
          <w:rFonts w:cs="Arial"/>
          <w:lang w:val="fr-CA"/>
        </w:rPr>
        <w:t>Kamloops (C.-B.)</w:t>
      </w:r>
      <w:r w:rsidRPr="008063CC">
        <w:rPr>
          <w:rFonts w:cs="Arial"/>
          <w:lang w:val="fr-CA"/>
        </w:rPr>
        <w:br/>
        <w:t>V2H 1H1</w:t>
      </w:r>
    </w:p>
    <w:p w14:paraId="5DA23B36" w14:textId="77777777" w:rsidR="00930E31" w:rsidRPr="008063CC" w:rsidRDefault="00930E31" w:rsidP="00930E31">
      <w:pPr>
        <w:jc w:val="center"/>
        <w:rPr>
          <w:rFonts w:cs="Arial"/>
          <w:lang w:val="fr-CA"/>
        </w:rPr>
      </w:pPr>
      <w:r w:rsidRPr="008063CC">
        <w:rPr>
          <w:rFonts w:cs="Arial"/>
          <w:lang w:val="fr-CA"/>
        </w:rPr>
        <w:t>Téléphone : 250-828-9857</w:t>
      </w:r>
    </w:p>
    <w:p w14:paraId="33C67DC1" w14:textId="77777777" w:rsidR="00930E31" w:rsidRPr="008063CC" w:rsidRDefault="00930E31" w:rsidP="00930E31">
      <w:pPr>
        <w:jc w:val="center"/>
        <w:rPr>
          <w:rFonts w:cs="Arial"/>
          <w:lang w:val="fr-CA"/>
        </w:rPr>
      </w:pPr>
      <w:r w:rsidRPr="008063CC">
        <w:rPr>
          <w:rFonts w:cs="Arial"/>
          <w:lang w:val="fr-CA"/>
        </w:rPr>
        <w:t>Télécopieur : 250-828-9858</w:t>
      </w:r>
    </w:p>
    <w:p w14:paraId="60D3279C" w14:textId="77777777" w:rsidR="00930E31" w:rsidRPr="008063CC" w:rsidRDefault="00930E31" w:rsidP="00930E31">
      <w:pPr>
        <w:rPr>
          <w:lang w:val="fr-CA"/>
        </w:rPr>
      </w:pPr>
    </w:p>
    <w:p w14:paraId="1FA364FD" w14:textId="77777777" w:rsidR="00930E31" w:rsidRDefault="00930E31" w:rsidP="00930E31">
      <w:pPr>
        <w:jc w:val="center"/>
        <w:rPr>
          <w:color w:val="0000FF"/>
          <w:u w:val="single"/>
          <w:lang w:val="fr-CA"/>
        </w:rPr>
      </w:pPr>
      <w:r w:rsidRPr="008063CC">
        <w:rPr>
          <w:lang w:val="fr-CA"/>
        </w:rPr>
        <w:t xml:space="preserve">Adresse électronique : </w:t>
      </w:r>
      <w:hyperlink r:id="rId12" w:history="1">
        <w:r w:rsidRPr="008063CC">
          <w:rPr>
            <w:color w:val="0000FF"/>
            <w:u w:val="single"/>
            <w:lang w:val="fr-CA"/>
          </w:rPr>
          <w:t>mail@fntc.ca</w:t>
        </w:r>
      </w:hyperlink>
    </w:p>
    <w:p w14:paraId="282F5008" w14:textId="77777777" w:rsidR="00930E31" w:rsidRDefault="00930E31" w:rsidP="00A7130F">
      <w:pPr>
        <w:rPr>
          <w:lang w:val="fr-CA"/>
        </w:rPr>
      </w:pPr>
    </w:p>
    <w:p w14:paraId="50CD4ABB" w14:textId="4E3362E8" w:rsidR="00A7130F" w:rsidRPr="00156596" w:rsidRDefault="00A7130F" w:rsidP="00A7130F">
      <w:pPr>
        <w:rPr>
          <w:lang w:val="fr-CA"/>
        </w:rPr>
      </w:pPr>
      <w:r w:rsidRPr="00156596">
        <w:rPr>
          <w:lang w:val="fr-CA"/>
        </w:rPr>
        <w:t xml:space="preserve">: </w:t>
      </w:r>
    </w:p>
    <w:p w14:paraId="6EB8BC13" w14:textId="77777777" w:rsidR="00A7130F" w:rsidRPr="00156596" w:rsidRDefault="00A7130F" w:rsidP="00A7130F">
      <w:pPr>
        <w:rPr>
          <w:lang w:val="fr-CA"/>
        </w:rPr>
      </w:pPr>
    </w:p>
    <w:p w14:paraId="00109BCF" w14:textId="01C8A053" w:rsidR="00F65523" w:rsidRPr="00156596" w:rsidRDefault="000F31C5" w:rsidP="00F65523">
      <w:pPr>
        <w:rPr>
          <w:lang w:val="fr-CA"/>
        </w:rPr>
      </w:pPr>
      <w:r w:rsidRPr="00156596">
        <w:rPr>
          <w:lang w:val="fr-CA"/>
        </w:rPr>
        <w:tab/>
      </w:r>
      <w:r w:rsidRPr="00156596">
        <w:rPr>
          <w:lang w:val="fr-CA"/>
        </w:rPr>
        <w:tab/>
      </w:r>
      <w:r w:rsidRPr="00156596">
        <w:rPr>
          <w:lang w:val="fr-CA"/>
        </w:rPr>
        <w:tab/>
      </w:r>
      <w:r w:rsidRPr="00156596">
        <w:rPr>
          <w:lang w:val="fr-CA"/>
        </w:rPr>
        <w:tab/>
      </w:r>
      <w:r w:rsidRPr="00156596">
        <w:rPr>
          <w:lang w:val="fr-CA"/>
        </w:rPr>
        <w:tab/>
      </w:r>
      <w:r w:rsidRPr="00156596">
        <w:rPr>
          <w:lang w:val="fr-CA"/>
        </w:rPr>
        <w:tab/>
      </w:r>
      <w:r w:rsidRPr="00156596">
        <w:rPr>
          <w:lang w:val="fr-CA"/>
        </w:rPr>
        <w:tab/>
      </w:r>
      <w:r w:rsidRPr="00156596">
        <w:rPr>
          <w:lang w:val="fr-CA"/>
        </w:rPr>
        <w:tab/>
      </w:r>
      <w:r w:rsidRPr="00156596">
        <w:rPr>
          <w:lang w:val="fr-CA"/>
        </w:rPr>
        <w:tab/>
      </w:r>
      <w:r w:rsidR="00F65523" w:rsidRPr="00156596">
        <w:rPr>
          <w:lang w:val="fr-CA"/>
        </w:rPr>
        <w:tab/>
      </w:r>
      <w:r w:rsidR="00F65523" w:rsidRPr="00156596">
        <w:rPr>
          <w:lang w:val="fr-CA"/>
        </w:rPr>
        <w:tab/>
      </w:r>
      <w:r w:rsidR="00F65523" w:rsidRPr="00156596">
        <w:rPr>
          <w:lang w:val="fr-CA"/>
        </w:rPr>
        <w:tab/>
      </w:r>
      <w:r w:rsidR="00F65523" w:rsidRPr="00156596">
        <w:rPr>
          <w:lang w:val="fr-CA"/>
        </w:rPr>
        <w:tab/>
      </w:r>
      <w:r w:rsidR="00F65523" w:rsidRPr="00156596">
        <w:rPr>
          <w:lang w:val="fr-CA"/>
        </w:rPr>
        <w:tab/>
      </w:r>
      <w:r w:rsidR="00F65523" w:rsidRPr="00156596">
        <w:rPr>
          <w:lang w:val="fr-CA"/>
        </w:rPr>
        <w:tab/>
      </w:r>
      <w:r w:rsidR="00F65523" w:rsidRPr="00156596">
        <w:rPr>
          <w:lang w:val="fr-CA"/>
        </w:rPr>
        <w:tab/>
      </w:r>
      <w:r w:rsidR="00F65523" w:rsidRPr="00156596">
        <w:rPr>
          <w:lang w:val="fr-CA"/>
        </w:rPr>
        <w:tab/>
      </w:r>
      <w:r w:rsidR="00F65523" w:rsidRPr="00156596">
        <w:rPr>
          <w:lang w:val="fr-CA"/>
        </w:rPr>
        <w:tab/>
      </w:r>
      <w:r w:rsidR="00F65523" w:rsidRPr="00156596">
        <w:rPr>
          <w:lang w:val="fr-CA"/>
        </w:rPr>
        <w:tab/>
      </w:r>
      <w:r w:rsidR="00F65523" w:rsidRPr="00156596">
        <w:rPr>
          <w:lang w:val="fr-CA"/>
        </w:rPr>
        <w:tab/>
      </w:r>
    </w:p>
    <w:p w14:paraId="1836176A" w14:textId="77777777" w:rsidR="007E5719" w:rsidRPr="00156596" w:rsidRDefault="007E5719" w:rsidP="00F65523">
      <w:pPr>
        <w:rPr>
          <w:lang w:val="fr-CA"/>
        </w:rPr>
      </w:pPr>
    </w:p>
    <w:sectPr w:rsidR="007E5719" w:rsidRPr="00156596" w:rsidSect="00AB27C9">
      <w:headerReference w:type="even" r:id="rId13"/>
      <w:headerReference w:type="default" r:id="rId14"/>
      <w:pgSz w:w="12240" w:h="15840" w:code="1"/>
      <w:pgMar w:top="1418" w:right="1440" w:bottom="1418" w:left="2160" w:header="113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2FC40" w14:textId="77777777" w:rsidR="00A53869" w:rsidRDefault="00A53869">
      <w:r>
        <w:separator/>
      </w:r>
    </w:p>
  </w:endnote>
  <w:endnote w:type="continuationSeparator" w:id="0">
    <w:p w14:paraId="50501510" w14:textId="77777777" w:rsidR="00A53869" w:rsidRDefault="00A5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Roman">
    <w:altName w:val="Times New Roman"/>
    <w:charset w:val="00"/>
    <w:family w:val="auto"/>
    <w:pitch w:val="variable"/>
    <w:sig w:usb0="00000003" w:usb1="00000000"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36BFF" w14:textId="77777777" w:rsidR="00A53869" w:rsidRDefault="00A53869">
      <w:r>
        <w:separator/>
      </w:r>
    </w:p>
  </w:footnote>
  <w:footnote w:type="continuationSeparator" w:id="0">
    <w:p w14:paraId="603B00B4" w14:textId="77777777" w:rsidR="00A53869" w:rsidRDefault="00A53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880DF" w14:textId="77777777" w:rsidR="00D80581" w:rsidRDefault="00D80581" w:rsidP="003C2D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04B4AB" w14:textId="77777777" w:rsidR="00D80581" w:rsidRDefault="00D805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4B5A8" w14:textId="77777777" w:rsidR="00D80581" w:rsidRDefault="00D80581" w:rsidP="003C2D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3AED">
      <w:rPr>
        <w:rStyle w:val="PageNumber"/>
        <w:noProof/>
      </w:rPr>
      <w:t>2</w:t>
    </w:r>
    <w:r>
      <w:rPr>
        <w:rStyle w:val="PageNumber"/>
      </w:rPr>
      <w:fldChar w:fldCharType="end"/>
    </w:r>
  </w:p>
  <w:p w14:paraId="2059B810" w14:textId="77777777" w:rsidR="00D80581" w:rsidRDefault="00D80581">
    <w:pPr>
      <w:pStyle w:val="Header"/>
    </w:pPr>
  </w:p>
  <w:p w14:paraId="2CF702F9" w14:textId="77777777" w:rsidR="00D80581" w:rsidRDefault="00D805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E55E6"/>
    <w:multiLevelType w:val="hybridMultilevel"/>
    <w:tmpl w:val="EDB24B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645C5"/>
    <w:multiLevelType w:val="multilevel"/>
    <w:tmpl w:val="44002AB8"/>
    <w:lvl w:ilvl="0">
      <w:start w:val="1"/>
      <w:numFmt w:val="decimal"/>
      <w:pStyle w:val="standardnumbering"/>
      <w:lvlText w:val="%1."/>
      <w:lvlJc w:val="left"/>
      <w:pPr>
        <w:tabs>
          <w:tab w:val="num" w:pos="432"/>
        </w:tabs>
        <w:ind w:left="0" w:firstLine="0"/>
      </w:pPr>
      <w:rPr>
        <w:rFonts w:hint="default"/>
        <w:b w:val="0"/>
        <w:i w:val="0"/>
        <w:u w:val="none"/>
      </w:rPr>
    </w:lvl>
    <w:lvl w:ilvl="1">
      <w:start w:val="1"/>
      <w:numFmt w:val="decimal"/>
      <w:pStyle w:val="List2"/>
      <w:lvlText w:val="(%2)"/>
      <w:lvlJc w:val="left"/>
      <w:pPr>
        <w:tabs>
          <w:tab w:val="num" w:pos="432"/>
        </w:tabs>
        <w:ind w:left="0" w:firstLine="0"/>
      </w:pPr>
      <w:rPr>
        <w:rFonts w:hint="default"/>
        <w:b/>
        <w:i w:val="0"/>
        <w:u w:val="none"/>
      </w:rPr>
    </w:lvl>
    <w:lvl w:ilvl="2">
      <w:start w:val="1"/>
      <w:numFmt w:val="lowerLetter"/>
      <w:pStyle w:val="List3"/>
      <w:lvlText w:val="(%3)"/>
      <w:lvlJc w:val="left"/>
      <w:pPr>
        <w:tabs>
          <w:tab w:val="num" w:pos="432"/>
        </w:tabs>
        <w:ind w:left="0" w:firstLine="0"/>
      </w:pPr>
      <w:rPr>
        <w:rFonts w:hint="default"/>
        <w:u w:val="none"/>
      </w:rPr>
    </w:lvl>
    <w:lvl w:ilvl="3">
      <w:start w:val="1"/>
      <w:numFmt w:val="lowerRoman"/>
      <w:pStyle w:val="List4"/>
      <w:lvlText w:val="(%4)"/>
      <w:lvlJc w:val="left"/>
      <w:pPr>
        <w:tabs>
          <w:tab w:val="num" w:pos="1440"/>
        </w:tabs>
        <w:ind w:left="1728" w:hanging="288"/>
      </w:pPr>
      <w:rPr>
        <w:rFonts w:hint="default"/>
        <w:u w:val="none"/>
      </w:rPr>
    </w:lvl>
    <w:lvl w:ilvl="4">
      <w:start w:val="1"/>
      <w:numFmt w:val="decimal"/>
      <w:pStyle w:val="List5"/>
      <w:lvlText w:val="(%5)"/>
      <w:lvlJc w:val="left"/>
      <w:pPr>
        <w:tabs>
          <w:tab w:val="num" w:pos="3600"/>
        </w:tabs>
        <w:ind w:left="3600" w:hanging="720"/>
      </w:pPr>
      <w:rPr>
        <w:rFonts w:hint="default"/>
        <w:u w:val="none"/>
      </w:rPr>
    </w:lvl>
    <w:lvl w:ilvl="5">
      <w:start w:val="1"/>
      <w:numFmt w:val="lowerRoman"/>
      <w:lvlText w:val="(%6)"/>
      <w:lvlJc w:val="left"/>
      <w:pPr>
        <w:tabs>
          <w:tab w:val="num" w:pos="4320"/>
        </w:tabs>
        <w:ind w:left="4320" w:hanging="720"/>
      </w:pPr>
      <w:rPr>
        <w:rFonts w:hint="default"/>
        <w:u w:val="none"/>
      </w:rPr>
    </w:lvl>
    <w:lvl w:ilvl="6">
      <w:start w:val="1"/>
      <w:numFmt w:val="decimal"/>
      <w:pStyle w:val="List7"/>
      <w:lvlText w:val="%7."/>
      <w:lvlJc w:val="left"/>
      <w:pPr>
        <w:tabs>
          <w:tab w:val="num" w:pos="5040"/>
        </w:tabs>
        <w:ind w:left="5040" w:hanging="720"/>
      </w:pPr>
      <w:rPr>
        <w:rFonts w:hint="default"/>
        <w:u w:val="none"/>
      </w:rPr>
    </w:lvl>
    <w:lvl w:ilvl="7">
      <w:start w:val="1"/>
      <w:numFmt w:val="lowerLetter"/>
      <w:pStyle w:val="List8"/>
      <w:lvlText w:val="%8."/>
      <w:lvlJc w:val="left"/>
      <w:pPr>
        <w:tabs>
          <w:tab w:val="num" w:pos="5760"/>
        </w:tabs>
        <w:ind w:left="5760" w:hanging="720"/>
      </w:pPr>
      <w:rPr>
        <w:rFonts w:hint="default"/>
        <w:u w:val="none"/>
      </w:rPr>
    </w:lvl>
    <w:lvl w:ilvl="8">
      <w:start w:val="1"/>
      <w:numFmt w:val="lowerRoman"/>
      <w:lvlText w:val="%9."/>
      <w:lvlJc w:val="left"/>
      <w:pPr>
        <w:tabs>
          <w:tab w:val="num" w:pos="6480"/>
        </w:tabs>
        <w:ind w:left="6480" w:hanging="720"/>
      </w:pPr>
      <w:rPr>
        <w:rFonts w:hint="default"/>
        <w:u w:val="none"/>
      </w:rPr>
    </w:lvl>
  </w:abstractNum>
  <w:abstractNum w:abstractNumId="2" w15:restartNumberingAfterBreak="0">
    <w:nsid w:val="29490E6D"/>
    <w:multiLevelType w:val="hybridMultilevel"/>
    <w:tmpl w:val="23723FE2"/>
    <w:lvl w:ilvl="0" w:tplc="3A565B5A">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9F4F9F"/>
    <w:multiLevelType w:val="hybridMultilevel"/>
    <w:tmpl w:val="AD90F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CF4E86"/>
    <w:multiLevelType w:val="hybridMultilevel"/>
    <w:tmpl w:val="547218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C7E2A1E"/>
    <w:multiLevelType w:val="hybridMultilevel"/>
    <w:tmpl w:val="9752A8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FE4B6C"/>
    <w:multiLevelType w:val="hybridMultilevel"/>
    <w:tmpl w:val="75F81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32AC4"/>
    <w:multiLevelType w:val="hybridMultilevel"/>
    <w:tmpl w:val="A3462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5F0E91"/>
    <w:multiLevelType w:val="hybridMultilevel"/>
    <w:tmpl w:val="E418071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3B17AAD"/>
    <w:multiLevelType w:val="hybridMultilevel"/>
    <w:tmpl w:val="BD38B872"/>
    <w:lvl w:ilvl="0" w:tplc="FFFFFFFF">
      <w:start w:val="1"/>
      <w:numFmt w:val="upp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81D29EC"/>
    <w:multiLevelType w:val="hybridMultilevel"/>
    <w:tmpl w:val="FE7CA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8A33C7D"/>
    <w:multiLevelType w:val="hybridMultilevel"/>
    <w:tmpl w:val="7FAA1F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F271C9F"/>
    <w:multiLevelType w:val="hybridMultilevel"/>
    <w:tmpl w:val="518CD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853071"/>
    <w:multiLevelType w:val="hybridMultilevel"/>
    <w:tmpl w:val="C34E1C4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4C190B"/>
    <w:multiLevelType w:val="hybridMultilevel"/>
    <w:tmpl w:val="EF44C3CA"/>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2656714"/>
    <w:multiLevelType w:val="hybridMultilevel"/>
    <w:tmpl w:val="5F2A4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67965568">
    <w:abstractNumId w:val="5"/>
  </w:num>
  <w:num w:numId="2" w16cid:durableId="140923989">
    <w:abstractNumId w:val="9"/>
  </w:num>
  <w:num w:numId="3" w16cid:durableId="1292632247">
    <w:abstractNumId w:val="1"/>
  </w:num>
  <w:num w:numId="4" w16cid:durableId="1017542285">
    <w:abstractNumId w:val="0"/>
  </w:num>
  <w:num w:numId="5" w16cid:durableId="235865161">
    <w:abstractNumId w:val="13"/>
  </w:num>
  <w:num w:numId="6" w16cid:durableId="1774587080">
    <w:abstractNumId w:val="6"/>
  </w:num>
  <w:num w:numId="7" w16cid:durableId="1442917317">
    <w:abstractNumId w:val="3"/>
  </w:num>
  <w:num w:numId="8" w16cid:durableId="962614297">
    <w:abstractNumId w:val="12"/>
  </w:num>
  <w:num w:numId="9" w16cid:durableId="708844074">
    <w:abstractNumId w:val="2"/>
  </w:num>
  <w:num w:numId="10" w16cid:durableId="1440104521">
    <w:abstractNumId w:val="11"/>
  </w:num>
  <w:num w:numId="11" w16cid:durableId="807821937">
    <w:abstractNumId w:val="8"/>
  </w:num>
  <w:num w:numId="12" w16cid:durableId="967972384">
    <w:abstractNumId w:val="4"/>
  </w:num>
  <w:num w:numId="13" w16cid:durableId="462118897">
    <w:abstractNumId w:val="7"/>
  </w:num>
  <w:num w:numId="14" w16cid:durableId="1459564396">
    <w:abstractNumId w:val="15"/>
  </w:num>
  <w:num w:numId="15" w16cid:durableId="380206011">
    <w:abstractNumId w:val="10"/>
  </w:num>
  <w:num w:numId="16" w16cid:durableId="6704475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6"/>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792"/>
    <w:rsid w:val="000031C3"/>
    <w:rsid w:val="0002457D"/>
    <w:rsid w:val="00027055"/>
    <w:rsid w:val="00031773"/>
    <w:rsid w:val="00035137"/>
    <w:rsid w:val="000530D2"/>
    <w:rsid w:val="00057C4C"/>
    <w:rsid w:val="00066861"/>
    <w:rsid w:val="000A2925"/>
    <w:rsid w:val="000A46DC"/>
    <w:rsid w:val="000B0B87"/>
    <w:rsid w:val="000B3149"/>
    <w:rsid w:val="000B5C14"/>
    <w:rsid w:val="000C7F58"/>
    <w:rsid w:val="000D6A15"/>
    <w:rsid w:val="000E63C5"/>
    <w:rsid w:val="000E6885"/>
    <w:rsid w:val="000F31C5"/>
    <w:rsid w:val="000F4267"/>
    <w:rsid w:val="000F6868"/>
    <w:rsid w:val="001144A6"/>
    <w:rsid w:val="00115A50"/>
    <w:rsid w:val="00121ADF"/>
    <w:rsid w:val="00127BDC"/>
    <w:rsid w:val="00131040"/>
    <w:rsid w:val="00156596"/>
    <w:rsid w:val="001711EB"/>
    <w:rsid w:val="00193745"/>
    <w:rsid w:val="001A299E"/>
    <w:rsid w:val="001A5D6B"/>
    <w:rsid w:val="001B1656"/>
    <w:rsid w:val="001B33C5"/>
    <w:rsid w:val="001D1744"/>
    <w:rsid w:val="001D4792"/>
    <w:rsid w:val="00205676"/>
    <w:rsid w:val="00205A63"/>
    <w:rsid w:val="0021108C"/>
    <w:rsid w:val="00211274"/>
    <w:rsid w:val="00211842"/>
    <w:rsid w:val="002235AD"/>
    <w:rsid w:val="00232D88"/>
    <w:rsid w:val="002349E5"/>
    <w:rsid w:val="0023781C"/>
    <w:rsid w:val="00237867"/>
    <w:rsid w:val="00243467"/>
    <w:rsid w:val="0025367C"/>
    <w:rsid w:val="0025421A"/>
    <w:rsid w:val="00263999"/>
    <w:rsid w:val="00264668"/>
    <w:rsid w:val="00280DBA"/>
    <w:rsid w:val="00282EA0"/>
    <w:rsid w:val="00283C97"/>
    <w:rsid w:val="002B4A1F"/>
    <w:rsid w:val="002B64AD"/>
    <w:rsid w:val="002D5E65"/>
    <w:rsid w:val="002E717E"/>
    <w:rsid w:val="00304455"/>
    <w:rsid w:val="00310FB9"/>
    <w:rsid w:val="00343F82"/>
    <w:rsid w:val="003503F2"/>
    <w:rsid w:val="00350B98"/>
    <w:rsid w:val="00356039"/>
    <w:rsid w:val="00363248"/>
    <w:rsid w:val="003633F7"/>
    <w:rsid w:val="0037024C"/>
    <w:rsid w:val="00381777"/>
    <w:rsid w:val="00395A43"/>
    <w:rsid w:val="003A18FA"/>
    <w:rsid w:val="003A22D1"/>
    <w:rsid w:val="003C08EC"/>
    <w:rsid w:val="003C2DE1"/>
    <w:rsid w:val="003D0E3A"/>
    <w:rsid w:val="003E16AE"/>
    <w:rsid w:val="003E1701"/>
    <w:rsid w:val="003E6C28"/>
    <w:rsid w:val="003F38EB"/>
    <w:rsid w:val="00426960"/>
    <w:rsid w:val="00436CF4"/>
    <w:rsid w:val="00441CB2"/>
    <w:rsid w:val="00450052"/>
    <w:rsid w:val="00462FE8"/>
    <w:rsid w:val="0048039F"/>
    <w:rsid w:val="00481CF7"/>
    <w:rsid w:val="00491138"/>
    <w:rsid w:val="0049308B"/>
    <w:rsid w:val="004B1F0A"/>
    <w:rsid w:val="004B5701"/>
    <w:rsid w:val="004C00F8"/>
    <w:rsid w:val="004C11CA"/>
    <w:rsid w:val="004C4B28"/>
    <w:rsid w:val="004F06EC"/>
    <w:rsid w:val="004F28E5"/>
    <w:rsid w:val="00512B01"/>
    <w:rsid w:val="00517E1B"/>
    <w:rsid w:val="00521545"/>
    <w:rsid w:val="005365F8"/>
    <w:rsid w:val="00541A12"/>
    <w:rsid w:val="005661DC"/>
    <w:rsid w:val="005672FB"/>
    <w:rsid w:val="005901BE"/>
    <w:rsid w:val="005940E3"/>
    <w:rsid w:val="005B42EA"/>
    <w:rsid w:val="005B43B6"/>
    <w:rsid w:val="005B4F1C"/>
    <w:rsid w:val="005C45A0"/>
    <w:rsid w:val="005C495E"/>
    <w:rsid w:val="005C5A87"/>
    <w:rsid w:val="005D1387"/>
    <w:rsid w:val="005D5036"/>
    <w:rsid w:val="005D7838"/>
    <w:rsid w:val="005E620B"/>
    <w:rsid w:val="005F6EBA"/>
    <w:rsid w:val="00625D72"/>
    <w:rsid w:val="00627844"/>
    <w:rsid w:val="00636C7C"/>
    <w:rsid w:val="00642D81"/>
    <w:rsid w:val="0065292D"/>
    <w:rsid w:val="00654818"/>
    <w:rsid w:val="0065733F"/>
    <w:rsid w:val="006673F1"/>
    <w:rsid w:val="00670DA0"/>
    <w:rsid w:val="00697F7A"/>
    <w:rsid w:val="006B3E42"/>
    <w:rsid w:val="006C1E9A"/>
    <w:rsid w:val="006C3F69"/>
    <w:rsid w:val="006E1D3B"/>
    <w:rsid w:val="006E747C"/>
    <w:rsid w:val="006F5111"/>
    <w:rsid w:val="00710322"/>
    <w:rsid w:val="00725AA3"/>
    <w:rsid w:val="00726920"/>
    <w:rsid w:val="00730CD8"/>
    <w:rsid w:val="00735847"/>
    <w:rsid w:val="00741AE2"/>
    <w:rsid w:val="00773DE6"/>
    <w:rsid w:val="00781BAA"/>
    <w:rsid w:val="007838EA"/>
    <w:rsid w:val="00794A12"/>
    <w:rsid w:val="007A73D5"/>
    <w:rsid w:val="007B6F47"/>
    <w:rsid w:val="007C03FF"/>
    <w:rsid w:val="007C118C"/>
    <w:rsid w:val="007C76E5"/>
    <w:rsid w:val="007D470A"/>
    <w:rsid w:val="007D6D9D"/>
    <w:rsid w:val="007E146B"/>
    <w:rsid w:val="007E5719"/>
    <w:rsid w:val="0080652A"/>
    <w:rsid w:val="008101D7"/>
    <w:rsid w:val="00810CB9"/>
    <w:rsid w:val="00813C53"/>
    <w:rsid w:val="00814F3C"/>
    <w:rsid w:val="00822E4B"/>
    <w:rsid w:val="008239A7"/>
    <w:rsid w:val="00830AB0"/>
    <w:rsid w:val="00842B72"/>
    <w:rsid w:val="008609EE"/>
    <w:rsid w:val="00861F1D"/>
    <w:rsid w:val="00887F08"/>
    <w:rsid w:val="00890733"/>
    <w:rsid w:val="00890C2C"/>
    <w:rsid w:val="008D17C6"/>
    <w:rsid w:val="008E2053"/>
    <w:rsid w:val="008F232B"/>
    <w:rsid w:val="008F6554"/>
    <w:rsid w:val="00900065"/>
    <w:rsid w:val="0090260F"/>
    <w:rsid w:val="009030D7"/>
    <w:rsid w:val="00905B0C"/>
    <w:rsid w:val="00930E31"/>
    <w:rsid w:val="009534AE"/>
    <w:rsid w:val="0096070B"/>
    <w:rsid w:val="009647C0"/>
    <w:rsid w:val="00964843"/>
    <w:rsid w:val="00981922"/>
    <w:rsid w:val="00983EE0"/>
    <w:rsid w:val="009A3F22"/>
    <w:rsid w:val="009B267D"/>
    <w:rsid w:val="009C176A"/>
    <w:rsid w:val="009D15D4"/>
    <w:rsid w:val="009D4ADA"/>
    <w:rsid w:val="009D4F0B"/>
    <w:rsid w:val="009E13CE"/>
    <w:rsid w:val="009E3116"/>
    <w:rsid w:val="00A05DF0"/>
    <w:rsid w:val="00A2161D"/>
    <w:rsid w:val="00A26D6E"/>
    <w:rsid w:val="00A30099"/>
    <w:rsid w:val="00A46704"/>
    <w:rsid w:val="00A53869"/>
    <w:rsid w:val="00A57DBC"/>
    <w:rsid w:val="00A7130F"/>
    <w:rsid w:val="00A74AE0"/>
    <w:rsid w:val="00A753AC"/>
    <w:rsid w:val="00A76396"/>
    <w:rsid w:val="00A92429"/>
    <w:rsid w:val="00AA1DE1"/>
    <w:rsid w:val="00AA6072"/>
    <w:rsid w:val="00AA7697"/>
    <w:rsid w:val="00AA78E5"/>
    <w:rsid w:val="00AB0480"/>
    <w:rsid w:val="00AB27C9"/>
    <w:rsid w:val="00AB2E02"/>
    <w:rsid w:val="00AB4BDB"/>
    <w:rsid w:val="00AD0ABA"/>
    <w:rsid w:val="00AE1D94"/>
    <w:rsid w:val="00B01BFD"/>
    <w:rsid w:val="00B22565"/>
    <w:rsid w:val="00B277FE"/>
    <w:rsid w:val="00B32359"/>
    <w:rsid w:val="00B53652"/>
    <w:rsid w:val="00B57C14"/>
    <w:rsid w:val="00B74738"/>
    <w:rsid w:val="00B74C2A"/>
    <w:rsid w:val="00B77EE1"/>
    <w:rsid w:val="00B91B7A"/>
    <w:rsid w:val="00B96AB1"/>
    <w:rsid w:val="00BB2B41"/>
    <w:rsid w:val="00BB3684"/>
    <w:rsid w:val="00BC72AB"/>
    <w:rsid w:val="00BD4722"/>
    <w:rsid w:val="00BD690C"/>
    <w:rsid w:val="00BE6BF7"/>
    <w:rsid w:val="00BE7BCD"/>
    <w:rsid w:val="00BF0FAE"/>
    <w:rsid w:val="00BF785B"/>
    <w:rsid w:val="00C12E0E"/>
    <w:rsid w:val="00C172ED"/>
    <w:rsid w:val="00C46EDF"/>
    <w:rsid w:val="00C56B63"/>
    <w:rsid w:val="00C70AB5"/>
    <w:rsid w:val="00C748E9"/>
    <w:rsid w:val="00C75B42"/>
    <w:rsid w:val="00C8050F"/>
    <w:rsid w:val="00C84254"/>
    <w:rsid w:val="00C942EA"/>
    <w:rsid w:val="00C96237"/>
    <w:rsid w:val="00CA17AB"/>
    <w:rsid w:val="00CA2B7B"/>
    <w:rsid w:val="00CB04CD"/>
    <w:rsid w:val="00CC5F9B"/>
    <w:rsid w:val="00CD159F"/>
    <w:rsid w:val="00CD50F5"/>
    <w:rsid w:val="00CE3D6D"/>
    <w:rsid w:val="00CF0A0F"/>
    <w:rsid w:val="00D10425"/>
    <w:rsid w:val="00D2084E"/>
    <w:rsid w:val="00D35F8F"/>
    <w:rsid w:val="00D442B3"/>
    <w:rsid w:val="00D47F17"/>
    <w:rsid w:val="00D5155B"/>
    <w:rsid w:val="00D7272B"/>
    <w:rsid w:val="00D76EA2"/>
    <w:rsid w:val="00D77C20"/>
    <w:rsid w:val="00D80581"/>
    <w:rsid w:val="00D812E3"/>
    <w:rsid w:val="00D8350C"/>
    <w:rsid w:val="00D836EE"/>
    <w:rsid w:val="00D9671D"/>
    <w:rsid w:val="00DA7C8F"/>
    <w:rsid w:val="00DC35B3"/>
    <w:rsid w:val="00DC4945"/>
    <w:rsid w:val="00DD253F"/>
    <w:rsid w:val="00DE173B"/>
    <w:rsid w:val="00DF1EBB"/>
    <w:rsid w:val="00DF541B"/>
    <w:rsid w:val="00E025DD"/>
    <w:rsid w:val="00E165E0"/>
    <w:rsid w:val="00E2250E"/>
    <w:rsid w:val="00E23AED"/>
    <w:rsid w:val="00E2656A"/>
    <w:rsid w:val="00E41C87"/>
    <w:rsid w:val="00E477F1"/>
    <w:rsid w:val="00E75D85"/>
    <w:rsid w:val="00E7636A"/>
    <w:rsid w:val="00E76E3A"/>
    <w:rsid w:val="00E85395"/>
    <w:rsid w:val="00E90178"/>
    <w:rsid w:val="00EA0DAB"/>
    <w:rsid w:val="00EA2BCD"/>
    <w:rsid w:val="00EA7A46"/>
    <w:rsid w:val="00EB036D"/>
    <w:rsid w:val="00EC0B47"/>
    <w:rsid w:val="00EC4A28"/>
    <w:rsid w:val="00EC696A"/>
    <w:rsid w:val="00ED0272"/>
    <w:rsid w:val="00ED1410"/>
    <w:rsid w:val="00ED5138"/>
    <w:rsid w:val="00ED5AD7"/>
    <w:rsid w:val="00ED6D56"/>
    <w:rsid w:val="00EE2B59"/>
    <w:rsid w:val="00F00336"/>
    <w:rsid w:val="00F06C3E"/>
    <w:rsid w:val="00F10DD5"/>
    <w:rsid w:val="00F4269A"/>
    <w:rsid w:val="00F63836"/>
    <w:rsid w:val="00F65523"/>
    <w:rsid w:val="00F81EBA"/>
    <w:rsid w:val="00FA1C16"/>
    <w:rsid w:val="00FB177A"/>
    <w:rsid w:val="00FD7E08"/>
    <w:rsid w:val="00FE1C13"/>
    <w:rsid w:val="00FF0D36"/>
    <w:rsid w:val="00FF1BCD"/>
    <w:rsid w:val="00FF56D0"/>
    <w:rsid w:val="00FF6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8A9D33"/>
  <w15:docId w15:val="{6BEB0E3A-16E5-4E9E-8963-CF498AA1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350C"/>
    <w:pPr>
      <w:tabs>
        <w:tab w:val="center" w:pos="4320"/>
        <w:tab w:val="right" w:pos="8640"/>
      </w:tabs>
    </w:pPr>
  </w:style>
  <w:style w:type="paragraph" w:styleId="Footer">
    <w:name w:val="footer"/>
    <w:basedOn w:val="Normal"/>
    <w:rsid w:val="00D8350C"/>
    <w:pPr>
      <w:tabs>
        <w:tab w:val="center" w:pos="4320"/>
        <w:tab w:val="right" w:pos="8640"/>
      </w:tabs>
    </w:pPr>
  </w:style>
  <w:style w:type="table" w:styleId="TableGrid">
    <w:name w:val="Table Grid"/>
    <w:basedOn w:val="TableNormal"/>
    <w:rsid w:val="00D83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70AB5"/>
    <w:rPr>
      <w:rFonts w:ascii="Tahoma" w:hAnsi="Tahoma" w:cs="Tahoma"/>
      <w:sz w:val="16"/>
      <w:szCs w:val="16"/>
    </w:rPr>
  </w:style>
  <w:style w:type="character" w:styleId="PageNumber">
    <w:name w:val="page number"/>
    <w:basedOn w:val="DefaultParagraphFont"/>
    <w:rsid w:val="00EE2B59"/>
  </w:style>
  <w:style w:type="paragraph" w:customStyle="1" w:styleId="standardnumbering">
    <w:name w:val="standard numbering"/>
    <w:basedOn w:val="Normal"/>
    <w:rsid w:val="00AD0ABA"/>
    <w:pPr>
      <w:numPr>
        <w:numId w:val="3"/>
      </w:numPr>
    </w:pPr>
    <w:rPr>
      <w:rFonts w:ascii="Times New Roman" w:hAnsi="Times New Roman"/>
      <w:szCs w:val="20"/>
    </w:rPr>
  </w:style>
  <w:style w:type="paragraph" w:styleId="List2">
    <w:name w:val="List 2"/>
    <w:basedOn w:val="Normal"/>
    <w:rsid w:val="00AD0ABA"/>
    <w:pPr>
      <w:numPr>
        <w:ilvl w:val="1"/>
        <w:numId w:val="3"/>
      </w:numPr>
    </w:pPr>
    <w:rPr>
      <w:rFonts w:ascii="Times New Roman" w:hAnsi="Times New Roman"/>
      <w:szCs w:val="20"/>
    </w:rPr>
  </w:style>
  <w:style w:type="paragraph" w:styleId="List3">
    <w:name w:val="List 3"/>
    <w:basedOn w:val="Normal"/>
    <w:rsid w:val="00AD0ABA"/>
    <w:pPr>
      <w:numPr>
        <w:ilvl w:val="2"/>
        <w:numId w:val="3"/>
      </w:numPr>
    </w:pPr>
    <w:rPr>
      <w:rFonts w:ascii="Times New Roman" w:hAnsi="Times New Roman"/>
      <w:szCs w:val="20"/>
    </w:rPr>
  </w:style>
  <w:style w:type="paragraph" w:styleId="List4">
    <w:name w:val="List 4"/>
    <w:basedOn w:val="Normal"/>
    <w:rsid w:val="00AD0ABA"/>
    <w:pPr>
      <w:numPr>
        <w:ilvl w:val="3"/>
        <w:numId w:val="3"/>
      </w:numPr>
    </w:pPr>
    <w:rPr>
      <w:rFonts w:ascii="Times New Roman" w:hAnsi="Times New Roman"/>
      <w:szCs w:val="20"/>
    </w:rPr>
  </w:style>
  <w:style w:type="paragraph" w:styleId="List5">
    <w:name w:val="List 5"/>
    <w:basedOn w:val="Normal"/>
    <w:rsid w:val="00AD0ABA"/>
    <w:pPr>
      <w:numPr>
        <w:ilvl w:val="4"/>
        <w:numId w:val="3"/>
      </w:numPr>
    </w:pPr>
    <w:rPr>
      <w:rFonts w:ascii="Times New Roman" w:hAnsi="Times New Roman"/>
      <w:szCs w:val="20"/>
    </w:rPr>
  </w:style>
  <w:style w:type="paragraph" w:customStyle="1" w:styleId="List7">
    <w:name w:val="List 7"/>
    <w:basedOn w:val="Normal"/>
    <w:rsid w:val="00AD0ABA"/>
    <w:pPr>
      <w:numPr>
        <w:ilvl w:val="6"/>
        <w:numId w:val="3"/>
      </w:numPr>
    </w:pPr>
    <w:rPr>
      <w:rFonts w:ascii="Times New Roman" w:hAnsi="Times New Roman"/>
      <w:szCs w:val="20"/>
    </w:rPr>
  </w:style>
  <w:style w:type="paragraph" w:customStyle="1" w:styleId="List8">
    <w:name w:val="List 8"/>
    <w:basedOn w:val="Normal"/>
    <w:rsid w:val="00AD0ABA"/>
    <w:pPr>
      <w:numPr>
        <w:ilvl w:val="7"/>
        <w:numId w:val="3"/>
      </w:numPr>
    </w:pPr>
    <w:rPr>
      <w:rFonts w:ascii="Times New Roman" w:hAnsi="Times New Roman"/>
      <w:szCs w:val="20"/>
    </w:rPr>
  </w:style>
  <w:style w:type="character" w:styleId="Hyperlink">
    <w:name w:val="Hyperlink"/>
    <w:rsid w:val="00B01BFD"/>
    <w:rPr>
      <w:color w:val="0000FF"/>
      <w:u w:val="single"/>
    </w:rPr>
  </w:style>
  <w:style w:type="paragraph" w:styleId="ListParagraph">
    <w:name w:val="List Paragraph"/>
    <w:basedOn w:val="Normal"/>
    <w:uiPriority w:val="34"/>
    <w:qFormat/>
    <w:rsid w:val="007D6D9D"/>
    <w:pPr>
      <w:ind w:left="720"/>
      <w:contextualSpacing/>
    </w:pPr>
  </w:style>
  <w:style w:type="character" w:styleId="CommentReference">
    <w:name w:val="annotation reference"/>
    <w:basedOn w:val="DefaultParagraphFont"/>
    <w:rsid w:val="005E620B"/>
    <w:rPr>
      <w:sz w:val="16"/>
      <w:szCs w:val="16"/>
    </w:rPr>
  </w:style>
  <w:style w:type="paragraph" w:styleId="CommentText">
    <w:name w:val="annotation text"/>
    <w:basedOn w:val="Normal"/>
    <w:link w:val="CommentTextChar"/>
    <w:rsid w:val="005E620B"/>
    <w:rPr>
      <w:sz w:val="20"/>
      <w:szCs w:val="20"/>
    </w:rPr>
  </w:style>
  <w:style w:type="character" w:customStyle="1" w:styleId="CommentTextChar">
    <w:name w:val="Comment Text Char"/>
    <w:basedOn w:val="DefaultParagraphFont"/>
    <w:link w:val="CommentText"/>
    <w:rsid w:val="005E620B"/>
    <w:rPr>
      <w:rFonts w:ascii="Arial" w:hAnsi="Arial"/>
    </w:rPr>
  </w:style>
  <w:style w:type="paragraph" w:styleId="CommentSubject">
    <w:name w:val="annotation subject"/>
    <w:basedOn w:val="CommentText"/>
    <w:next w:val="CommentText"/>
    <w:link w:val="CommentSubjectChar"/>
    <w:rsid w:val="005E620B"/>
    <w:rPr>
      <w:b/>
      <w:bCs/>
    </w:rPr>
  </w:style>
  <w:style w:type="character" w:customStyle="1" w:styleId="CommentSubjectChar">
    <w:name w:val="Comment Subject Char"/>
    <w:basedOn w:val="CommentTextChar"/>
    <w:link w:val="CommentSubject"/>
    <w:rsid w:val="005E620B"/>
    <w:rPr>
      <w:rFonts w:ascii="Arial" w:hAnsi="Arial"/>
      <w:b/>
      <w:bCs/>
    </w:rPr>
  </w:style>
  <w:style w:type="paragraph" w:customStyle="1" w:styleId="Title1">
    <w:name w:val="Title1"/>
    <w:basedOn w:val="Normal"/>
    <w:uiPriority w:val="99"/>
    <w:rsid w:val="00156596"/>
    <w:pPr>
      <w:widowControl w:val="0"/>
      <w:autoSpaceDE w:val="0"/>
      <w:autoSpaceDN w:val="0"/>
      <w:adjustRightInd w:val="0"/>
      <w:spacing w:after="80" w:line="240" w:lineRule="atLeast"/>
      <w:jc w:val="center"/>
      <w:textAlignment w:val="center"/>
    </w:pPr>
    <w:rPr>
      <w:rFonts w:ascii="Times" w:hAnsi="Times" w:cs="Times"/>
      <w:b/>
      <w:bCs/>
      <w:caps/>
      <w:color w:val="000000"/>
      <w:sz w:val="20"/>
      <w:szCs w:val="20"/>
    </w:rPr>
  </w:style>
  <w:style w:type="character" w:styleId="UnresolvedMention">
    <w:name w:val="Unresolved Mention"/>
    <w:basedOn w:val="DefaultParagraphFont"/>
    <w:uiPriority w:val="99"/>
    <w:semiHidden/>
    <w:unhideWhenUsed/>
    <w:rsid w:val="00BF7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il@fntc.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ntc.ca/wp-content/uploads/publicinput/2025/BAT-Accommodation-Operator-Standards-for-PIP-Tracked-Changes_2025-07-28-FR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ntc.ca" TargetMode="External"/><Relationship Id="rId4" Type="http://schemas.openxmlformats.org/officeDocument/2006/relationships/settings" Target="settings.xml"/><Relationship Id="rId9" Type="http://schemas.openxmlformats.org/officeDocument/2006/relationships/hyperlink" Target="mailto:mail@fntc.c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2D076-E136-4EA6-9DE8-B4B019731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557</Words>
  <Characters>3181</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Web Cover Note for PIP Standards Annual Expend Laws</vt:lpstr>
      <vt:lpstr>Web Cover Note for PIP Standards Annual Expend Laws</vt:lpstr>
    </vt:vector>
  </TitlesOfParts>
  <Company/>
  <LinksUpToDate>false</LinksUpToDate>
  <CharactersWithSpaces>3731</CharactersWithSpaces>
  <SharedDoc>false</SharedDoc>
  <HLinks>
    <vt:vector size="6" baseType="variant">
      <vt:variant>
        <vt:i4>7733310</vt:i4>
      </vt:variant>
      <vt:variant>
        <vt:i4>2</vt:i4>
      </vt:variant>
      <vt:variant>
        <vt:i4>0</vt:i4>
      </vt:variant>
      <vt:variant>
        <vt:i4>5</vt:i4>
      </vt:variant>
      <vt:variant>
        <vt:lpwstr>http://www.fntc.ca/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Cover Note for PIP Standards Annual Expend Laws</dc:title>
  <dc:creator>FNTC</dc:creator>
  <cp:lastModifiedBy>Rav Multani</cp:lastModifiedBy>
  <cp:revision>3</cp:revision>
  <cp:lastPrinted>2007-08-23T16:38:00Z</cp:lastPrinted>
  <dcterms:created xsi:type="dcterms:W3CDTF">2025-07-14T15:00:00Z</dcterms:created>
  <dcterms:modified xsi:type="dcterms:W3CDTF">2025-07-25T21:08:00Z</dcterms:modified>
</cp:coreProperties>
</file>